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0B7" w:rsidRDefault="00FC10B7" w:rsidP="00857E21">
      <w:pPr>
        <w:spacing w:after="0" w:line="240" w:lineRule="auto"/>
        <w:jc w:val="center"/>
        <w:rPr>
          <w:rFonts w:ascii="Arial" w:hAnsi="Arial" w:cs="Arial"/>
          <w:b/>
          <w:color w:val="000000"/>
          <w:sz w:val="20"/>
          <w:szCs w:val="20"/>
        </w:rPr>
      </w:pPr>
      <w:r>
        <w:rPr>
          <w:rFonts w:ascii="Arial" w:hAnsi="Arial" w:cs="Arial"/>
          <w:b/>
          <w:color w:val="000000"/>
          <w:sz w:val="20"/>
          <w:szCs w:val="20"/>
        </w:rPr>
        <w:t xml:space="preserve">FAST FACTS AND CONCEPTS </w:t>
      </w:r>
      <w:r w:rsidR="00825FFC">
        <w:rPr>
          <w:rFonts w:ascii="Arial" w:hAnsi="Arial" w:cs="Arial"/>
          <w:b/>
          <w:color w:val="000000"/>
          <w:sz w:val="20"/>
          <w:szCs w:val="20"/>
        </w:rPr>
        <w:t>#228</w:t>
      </w:r>
    </w:p>
    <w:p w:rsidR="009D7F3C" w:rsidRDefault="009D7F3C" w:rsidP="00857E21">
      <w:pPr>
        <w:spacing w:after="120" w:line="240" w:lineRule="auto"/>
        <w:jc w:val="center"/>
        <w:rPr>
          <w:rFonts w:ascii="Arial" w:hAnsi="Arial" w:cs="Arial"/>
          <w:b/>
          <w:color w:val="000000"/>
          <w:sz w:val="20"/>
          <w:szCs w:val="20"/>
        </w:rPr>
      </w:pPr>
      <w:r>
        <w:rPr>
          <w:rFonts w:ascii="Arial" w:hAnsi="Arial" w:cs="Arial"/>
          <w:b/>
          <w:color w:val="000000"/>
          <w:sz w:val="20"/>
          <w:szCs w:val="20"/>
        </w:rPr>
        <w:t>TAPENTADOL</w:t>
      </w:r>
    </w:p>
    <w:p w:rsidR="009616FD" w:rsidRDefault="009616FD" w:rsidP="00857E21">
      <w:pPr>
        <w:spacing w:after="120" w:line="240" w:lineRule="auto"/>
        <w:jc w:val="center"/>
        <w:rPr>
          <w:rFonts w:ascii="Arial" w:hAnsi="Arial" w:cs="Arial"/>
          <w:b/>
          <w:color w:val="000000"/>
          <w:sz w:val="20"/>
          <w:szCs w:val="20"/>
        </w:rPr>
      </w:pPr>
      <w:r>
        <w:rPr>
          <w:rFonts w:ascii="Arial" w:hAnsi="Arial" w:cs="Arial"/>
          <w:b/>
          <w:color w:val="000000"/>
          <w:sz w:val="20"/>
          <w:szCs w:val="20"/>
        </w:rPr>
        <w:t xml:space="preserve">Rohtesh S Mehta MD, MPH and Robert M </w:t>
      </w:r>
      <w:r w:rsidRPr="009818AA">
        <w:rPr>
          <w:rFonts w:ascii="Arial" w:hAnsi="Arial" w:cs="Arial"/>
          <w:b/>
          <w:color w:val="000000"/>
          <w:sz w:val="20"/>
          <w:szCs w:val="20"/>
        </w:rPr>
        <w:t>Arnold MD</w:t>
      </w:r>
    </w:p>
    <w:p w:rsidR="009D7F3C" w:rsidRDefault="009D7F3C" w:rsidP="00857E21">
      <w:pPr>
        <w:spacing w:after="0" w:line="240" w:lineRule="auto"/>
        <w:rPr>
          <w:rFonts w:ascii="Arial" w:hAnsi="Arial" w:cs="Arial"/>
          <w:color w:val="000000"/>
          <w:sz w:val="20"/>
          <w:szCs w:val="20"/>
        </w:rPr>
      </w:pPr>
      <w:r>
        <w:rPr>
          <w:rFonts w:ascii="Arial" w:hAnsi="Arial" w:cs="Arial"/>
          <w:b/>
          <w:color w:val="000000"/>
          <w:sz w:val="20"/>
          <w:szCs w:val="20"/>
        </w:rPr>
        <w:t xml:space="preserve">Background    </w:t>
      </w:r>
      <w:proofErr w:type="spellStart"/>
      <w:r>
        <w:rPr>
          <w:rFonts w:ascii="Arial" w:hAnsi="Arial" w:cs="Arial"/>
          <w:color w:val="000000"/>
          <w:sz w:val="20"/>
          <w:szCs w:val="20"/>
        </w:rPr>
        <w:t>Tapentadol</w:t>
      </w:r>
      <w:proofErr w:type="spellEnd"/>
      <w:r>
        <w:rPr>
          <w:rFonts w:ascii="Arial" w:hAnsi="Arial" w:cs="Arial"/>
          <w:color w:val="000000"/>
          <w:sz w:val="20"/>
          <w:szCs w:val="20"/>
        </w:rPr>
        <w:t xml:space="preserve"> is a newly available oral analgesic, </w:t>
      </w:r>
      <w:r w:rsidRPr="009818AA">
        <w:rPr>
          <w:rFonts w:ascii="Arial" w:hAnsi="Arial" w:cs="Arial"/>
          <w:color w:val="000000"/>
          <w:sz w:val="20"/>
          <w:szCs w:val="20"/>
        </w:rPr>
        <w:t>approved by the FDA</w:t>
      </w:r>
      <w:r>
        <w:rPr>
          <w:rFonts w:ascii="Arial" w:hAnsi="Arial" w:cs="Arial"/>
          <w:color w:val="000000"/>
          <w:sz w:val="20"/>
          <w:szCs w:val="20"/>
        </w:rPr>
        <w:t xml:space="preserve"> in 2009</w:t>
      </w:r>
      <w:r w:rsidRPr="009818AA">
        <w:rPr>
          <w:rFonts w:ascii="Arial" w:hAnsi="Arial" w:cs="Arial"/>
          <w:color w:val="000000"/>
          <w:sz w:val="20"/>
          <w:szCs w:val="20"/>
        </w:rPr>
        <w:t xml:space="preserve"> for the management of moderate to severe acute pain in </w:t>
      </w:r>
      <w:r>
        <w:rPr>
          <w:rFonts w:ascii="Arial" w:hAnsi="Arial" w:cs="Arial"/>
          <w:color w:val="000000"/>
          <w:sz w:val="20"/>
          <w:szCs w:val="20"/>
        </w:rPr>
        <w:t>adults</w:t>
      </w:r>
      <w:r w:rsidRPr="009818AA">
        <w:rPr>
          <w:rFonts w:ascii="Arial" w:hAnsi="Arial" w:cs="Arial"/>
          <w:color w:val="000000"/>
          <w:sz w:val="20"/>
          <w:szCs w:val="20"/>
        </w:rPr>
        <w:t>.</w:t>
      </w:r>
      <w:r>
        <w:rPr>
          <w:rFonts w:ascii="Arial" w:hAnsi="Arial" w:cs="Arial"/>
          <w:color w:val="000000"/>
          <w:sz w:val="20"/>
          <w:szCs w:val="20"/>
        </w:rPr>
        <w:t xml:space="preserve">  This </w:t>
      </w:r>
      <w:r>
        <w:rPr>
          <w:rFonts w:ascii="Arial" w:hAnsi="Arial" w:cs="Arial"/>
          <w:i/>
          <w:color w:val="000000"/>
          <w:sz w:val="20"/>
          <w:szCs w:val="20"/>
        </w:rPr>
        <w:t xml:space="preserve">Fast Fact </w:t>
      </w:r>
      <w:r w:rsidRPr="009818AA">
        <w:rPr>
          <w:rFonts w:ascii="Arial" w:hAnsi="Arial" w:cs="Arial"/>
          <w:color w:val="000000"/>
          <w:sz w:val="20"/>
          <w:szCs w:val="20"/>
        </w:rPr>
        <w:t xml:space="preserve">reviews </w:t>
      </w:r>
      <w:r>
        <w:rPr>
          <w:rFonts w:ascii="Arial" w:hAnsi="Arial" w:cs="Arial"/>
          <w:color w:val="000000"/>
          <w:sz w:val="20"/>
          <w:szCs w:val="20"/>
        </w:rPr>
        <w:t>its pharmacology and use.</w:t>
      </w:r>
    </w:p>
    <w:p w:rsidR="009D7F3C" w:rsidRDefault="009D7F3C" w:rsidP="00857E21">
      <w:pPr>
        <w:spacing w:after="0" w:line="240" w:lineRule="auto"/>
        <w:rPr>
          <w:rFonts w:ascii="Arial" w:hAnsi="Arial" w:cs="Arial"/>
          <w:color w:val="000000"/>
          <w:sz w:val="20"/>
          <w:szCs w:val="20"/>
        </w:rPr>
      </w:pPr>
    </w:p>
    <w:p w:rsidR="009D7F3C" w:rsidRDefault="009D7F3C" w:rsidP="00857E21">
      <w:pPr>
        <w:spacing w:after="0" w:line="240" w:lineRule="auto"/>
        <w:rPr>
          <w:rFonts w:ascii="Arial" w:hAnsi="Arial" w:cs="Arial"/>
          <w:b/>
          <w:color w:val="000000"/>
          <w:sz w:val="20"/>
          <w:szCs w:val="20"/>
        </w:rPr>
      </w:pPr>
      <w:r>
        <w:rPr>
          <w:rFonts w:ascii="Arial" w:hAnsi="Arial" w:cs="Arial"/>
          <w:b/>
          <w:color w:val="000000"/>
          <w:sz w:val="20"/>
          <w:szCs w:val="20"/>
        </w:rPr>
        <w:t xml:space="preserve">Pharmacology     </w:t>
      </w:r>
    </w:p>
    <w:p w:rsidR="009D7F3C" w:rsidRPr="001A3B61" w:rsidRDefault="009D7F3C" w:rsidP="00857E21">
      <w:pPr>
        <w:numPr>
          <w:ilvl w:val="0"/>
          <w:numId w:val="2"/>
        </w:numPr>
        <w:spacing w:after="0" w:line="240" w:lineRule="auto"/>
        <w:rPr>
          <w:rFonts w:ascii="Arial" w:hAnsi="Arial" w:cs="Arial"/>
          <w:b/>
          <w:color w:val="000000"/>
          <w:sz w:val="20"/>
          <w:szCs w:val="20"/>
        </w:rPr>
      </w:pPr>
      <w:proofErr w:type="spellStart"/>
      <w:r>
        <w:rPr>
          <w:rFonts w:ascii="Arial" w:hAnsi="Arial" w:cs="Arial"/>
          <w:color w:val="000000"/>
          <w:sz w:val="20"/>
          <w:szCs w:val="20"/>
        </w:rPr>
        <w:t>Tapentadol</w:t>
      </w:r>
      <w:proofErr w:type="spellEnd"/>
      <w:r>
        <w:rPr>
          <w:rFonts w:ascii="Arial" w:hAnsi="Arial" w:cs="Arial"/>
          <w:color w:val="000000"/>
          <w:sz w:val="20"/>
          <w:szCs w:val="20"/>
        </w:rPr>
        <w:t xml:space="preserve"> is a centrally-</w:t>
      </w:r>
      <w:r w:rsidRPr="009818AA">
        <w:rPr>
          <w:rFonts w:ascii="Arial" w:hAnsi="Arial" w:cs="Arial"/>
          <w:color w:val="000000"/>
          <w:sz w:val="20"/>
          <w:szCs w:val="20"/>
        </w:rPr>
        <w:t>acting</w:t>
      </w:r>
      <w:r>
        <w:rPr>
          <w:rFonts w:ascii="Arial" w:hAnsi="Arial" w:cs="Arial"/>
          <w:color w:val="000000"/>
          <w:sz w:val="20"/>
          <w:szCs w:val="20"/>
        </w:rPr>
        <w:t>,</w:t>
      </w:r>
      <w:r w:rsidRPr="009818AA">
        <w:rPr>
          <w:rFonts w:ascii="Arial" w:hAnsi="Arial" w:cs="Arial"/>
          <w:color w:val="000000"/>
          <w:sz w:val="20"/>
          <w:szCs w:val="20"/>
        </w:rPr>
        <w:t xml:space="preserve"> synthetic</w:t>
      </w:r>
      <w:r>
        <w:rPr>
          <w:rFonts w:ascii="Arial" w:hAnsi="Arial" w:cs="Arial"/>
          <w:color w:val="000000"/>
          <w:sz w:val="20"/>
          <w:szCs w:val="20"/>
        </w:rPr>
        <w:t>,</w:t>
      </w:r>
      <w:r w:rsidRPr="009818AA">
        <w:rPr>
          <w:rFonts w:ascii="Arial" w:hAnsi="Arial" w:cs="Arial"/>
          <w:color w:val="000000"/>
          <w:sz w:val="20"/>
          <w:szCs w:val="20"/>
        </w:rPr>
        <w:t xml:space="preserve"> oral mu-opioid receptor agonist which also inhibits norepinephrine and serotonin reuptake</w:t>
      </w:r>
      <w:r>
        <w:rPr>
          <w:rFonts w:ascii="Arial" w:hAnsi="Arial" w:cs="Arial"/>
          <w:color w:val="000000"/>
          <w:sz w:val="20"/>
          <w:szCs w:val="20"/>
        </w:rPr>
        <w:t xml:space="preserve"> within the CNS.  It is</w:t>
      </w:r>
      <w:r w:rsidRPr="009818AA">
        <w:rPr>
          <w:rFonts w:ascii="Arial" w:hAnsi="Arial" w:cs="Arial"/>
          <w:color w:val="000000"/>
          <w:sz w:val="20"/>
          <w:szCs w:val="20"/>
        </w:rPr>
        <w:t xml:space="preserve"> structurally and pharmacologically similar to tramadol</w:t>
      </w:r>
      <w:r w:rsidR="00A86F96">
        <w:rPr>
          <w:rFonts w:ascii="Arial" w:hAnsi="Arial" w:cs="Arial"/>
          <w:color w:val="000000"/>
          <w:sz w:val="20"/>
          <w:szCs w:val="20"/>
        </w:rPr>
        <w:t xml:space="preserve"> (see </w:t>
      </w:r>
      <w:r w:rsidR="00A86F96" w:rsidRPr="00A86F96">
        <w:rPr>
          <w:rFonts w:ascii="Arial" w:hAnsi="Arial" w:cs="Arial"/>
          <w:i/>
          <w:color w:val="000000"/>
          <w:sz w:val="20"/>
          <w:szCs w:val="20"/>
        </w:rPr>
        <w:t>Fast Fact</w:t>
      </w:r>
      <w:r w:rsidR="00A86F96">
        <w:rPr>
          <w:rFonts w:ascii="Arial" w:hAnsi="Arial" w:cs="Arial"/>
          <w:color w:val="000000"/>
          <w:sz w:val="20"/>
          <w:szCs w:val="20"/>
        </w:rPr>
        <w:t xml:space="preserve"> #290 for more information on tramadol)</w:t>
      </w:r>
      <w:r w:rsidRPr="009818AA">
        <w:rPr>
          <w:rFonts w:ascii="Arial" w:hAnsi="Arial" w:cs="Arial"/>
          <w:color w:val="000000"/>
          <w:sz w:val="20"/>
          <w:szCs w:val="20"/>
        </w:rPr>
        <w:t xml:space="preserve">. </w:t>
      </w:r>
    </w:p>
    <w:p w:rsidR="009D7F3C" w:rsidRPr="001A3B61" w:rsidRDefault="009D7F3C" w:rsidP="00857E21">
      <w:pPr>
        <w:numPr>
          <w:ilvl w:val="0"/>
          <w:numId w:val="2"/>
        </w:numPr>
        <w:spacing w:after="0" w:line="240" w:lineRule="auto"/>
        <w:rPr>
          <w:rFonts w:ascii="Arial" w:hAnsi="Arial" w:cs="Arial"/>
          <w:b/>
          <w:color w:val="000000"/>
          <w:sz w:val="20"/>
          <w:szCs w:val="20"/>
        </w:rPr>
      </w:pPr>
      <w:r w:rsidRPr="009818AA">
        <w:rPr>
          <w:rFonts w:ascii="Arial" w:hAnsi="Arial" w:cs="Arial"/>
          <w:color w:val="000000"/>
          <w:sz w:val="20"/>
          <w:szCs w:val="20"/>
        </w:rPr>
        <w:t xml:space="preserve">Oral bioavailability ranges from 32% to 42%, with a half-life of 4 ½ hours. </w:t>
      </w:r>
    </w:p>
    <w:p w:rsidR="009D7F3C" w:rsidRPr="001A3B61" w:rsidRDefault="009D7F3C" w:rsidP="00857E21">
      <w:pPr>
        <w:numPr>
          <w:ilvl w:val="0"/>
          <w:numId w:val="2"/>
        </w:numPr>
        <w:spacing w:after="0" w:line="240" w:lineRule="auto"/>
        <w:rPr>
          <w:rFonts w:ascii="Arial" w:hAnsi="Arial" w:cs="Arial"/>
          <w:b/>
          <w:color w:val="000000"/>
          <w:sz w:val="20"/>
          <w:szCs w:val="20"/>
        </w:rPr>
      </w:pPr>
      <w:r w:rsidRPr="009818AA">
        <w:rPr>
          <w:rFonts w:ascii="Arial" w:hAnsi="Arial" w:cs="Arial"/>
          <w:color w:val="000000"/>
          <w:sz w:val="20"/>
          <w:szCs w:val="20"/>
        </w:rPr>
        <w:t>The drug is metabolized in the liver (97% by Phase-2 conjuga</w:t>
      </w:r>
      <w:r>
        <w:rPr>
          <w:rFonts w:ascii="Arial" w:hAnsi="Arial" w:cs="Arial"/>
          <w:color w:val="000000"/>
          <w:sz w:val="20"/>
          <w:szCs w:val="20"/>
        </w:rPr>
        <w:t xml:space="preserve">tion) and excreted in the urine.  </w:t>
      </w:r>
    </w:p>
    <w:p w:rsidR="009D7F3C" w:rsidRPr="001A3B61" w:rsidRDefault="009D7F3C" w:rsidP="00857E21">
      <w:pPr>
        <w:numPr>
          <w:ilvl w:val="0"/>
          <w:numId w:val="2"/>
        </w:numPr>
        <w:spacing w:after="0" w:line="240" w:lineRule="auto"/>
        <w:rPr>
          <w:rFonts w:ascii="Arial" w:hAnsi="Arial" w:cs="Arial"/>
          <w:b/>
          <w:color w:val="000000"/>
          <w:sz w:val="20"/>
          <w:szCs w:val="20"/>
        </w:rPr>
      </w:pPr>
      <w:proofErr w:type="spellStart"/>
      <w:r>
        <w:rPr>
          <w:rFonts w:ascii="Arial" w:hAnsi="Arial" w:cs="Arial"/>
          <w:color w:val="000000"/>
          <w:sz w:val="20"/>
          <w:szCs w:val="20"/>
        </w:rPr>
        <w:t>Tapentadol</w:t>
      </w:r>
      <w:proofErr w:type="spellEnd"/>
      <w:r>
        <w:rPr>
          <w:rFonts w:ascii="Arial" w:hAnsi="Arial" w:cs="Arial"/>
          <w:color w:val="000000"/>
          <w:sz w:val="20"/>
          <w:szCs w:val="20"/>
        </w:rPr>
        <w:t xml:space="preserve"> has no</w:t>
      </w:r>
      <w:r w:rsidRPr="009818AA">
        <w:rPr>
          <w:rFonts w:ascii="Arial" w:hAnsi="Arial" w:cs="Arial"/>
          <w:color w:val="000000"/>
          <w:sz w:val="20"/>
          <w:szCs w:val="20"/>
        </w:rPr>
        <w:t xml:space="preserve"> </w:t>
      </w:r>
      <w:r>
        <w:rPr>
          <w:rFonts w:ascii="Arial" w:hAnsi="Arial" w:cs="Arial"/>
          <w:color w:val="000000"/>
          <w:sz w:val="20"/>
          <w:szCs w:val="20"/>
        </w:rPr>
        <w:t xml:space="preserve">known </w:t>
      </w:r>
      <w:r w:rsidRPr="009818AA">
        <w:rPr>
          <w:rFonts w:ascii="Arial" w:hAnsi="Arial" w:cs="Arial"/>
          <w:color w:val="000000"/>
          <w:sz w:val="20"/>
          <w:szCs w:val="20"/>
        </w:rPr>
        <w:t>pharmacologically active metabolites, no relevant CYP interactions, and no drug-drug interactions through cytochrome induction or inhibition</w:t>
      </w:r>
      <w:r>
        <w:rPr>
          <w:rFonts w:ascii="Arial" w:hAnsi="Arial" w:cs="Arial"/>
          <w:color w:val="000000"/>
          <w:sz w:val="20"/>
          <w:szCs w:val="20"/>
        </w:rPr>
        <w:t xml:space="preserve"> (1).</w:t>
      </w:r>
    </w:p>
    <w:p w:rsidR="009D7F3C" w:rsidRPr="001A3B61" w:rsidRDefault="009D7F3C" w:rsidP="00857E21">
      <w:pPr>
        <w:numPr>
          <w:ilvl w:val="0"/>
          <w:numId w:val="2"/>
        </w:numPr>
        <w:spacing w:after="0" w:line="240" w:lineRule="auto"/>
        <w:rPr>
          <w:rFonts w:ascii="Arial" w:hAnsi="Arial" w:cs="Arial"/>
          <w:b/>
          <w:color w:val="000000"/>
          <w:sz w:val="20"/>
          <w:szCs w:val="20"/>
        </w:rPr>
      </w:pPr>
      <w:r>
        <w:rPr>
          <w:rFonts w:ascii="Arial" w:hAnsi="Arial" w:cs="Arial"/>
          <w:color w:val="000000"/>
          <w:sz w:val="20"/>
          <w:szCs w:val="20"/>
        </w:rPr>
        <w:t>There are no dosing adjustments required</w:t>
      </w:r>
      <w:r w:rsidRPr="009818AA">
        <w:rPr>
          <w:rFonts w:ascii="Arial" w:hAnsi="Arial" w:cs="Arial"/>
          <w:color w:val="000000"/>
          <w:sz w:val="20"/>
          <w:szCs w:val="20"/>
        </w:rPr>
        <w:t xml:space="preserve"> in mild</w:t>
      </w:r>
      <w:r w:rsidR="009616FD">
        <w:rPr>
          <w:rFonts w:ascii="Arial" w:hAnsi="Arial" w:cs="Arial"/>
          <w:color w:val="000000"/>
          <w:sz w:val="20"/>
          <w:szCs w:val="20"/>
        </w:rPr>
        <w:t>-</w:t>
      </w:r>
      <w:r w:rsidRPr="009818AA">
        <w:rPr>
          <w:rFonts w:ascii="Arial" w:hAnsi="Arial" w:cs="Arial"/>
          <w:color w:val="000000"/>
          <w:sz w:val="20"/>
          <w:szCs w:val="20"/>
        </w:rPr>
        <w:t>to</w:t>
      </w:r>
      <w:r w:rsidR="009616FD">
        <w:rPr>
          <w:rFonts w:ascii="Arial" w:hAnsi="Arial" w:cs="Arial"/>
          <w:color w:val="000000"/>
          <w:sz w:val="20"/>
          <w:szCs w:val="20"/>
        </w:rPr>
        <w:t>-</w:t>
      </w:r>
      <w:r w:rsidRPr="009818AA">
        <w:rPr>
          <w:rFonts w:ascii="Arial" w:hAnsi="Arial" w:cs="Arial"/>
          <w:color w:val="000000"/>
          <w:sz w:val="20"/>
          <w:szCs w:val="20"/>
        </w:rPr>
        <w:t xml:space="preserve">moderate renal or hepatic </w:t>
      </w:r>
      <w:r w:rsidR="00A458A4">
        <w:rPr>
          <w:rFonts w:ascii="Arial" w:hAnsi="Arial" w:cs="Arial"/>
          <w:color w:val="000000"/>
          <w:sz w:val="20"/>
          <w:szCs w:val="20"/>
        </w:rPr>
        <w:t>impairment (Child class A or B)</w:t>
      </w:r>
      <w:r w:rsidRPr="009818AA">
        <w:rPr>
          <w:rFonts w:ascii="Arial" w:hAnsi="Arial" w:cs="Arial"/>
          <w:color w:val="000000"/>
          <w:sz w:val="20"/>
          <w:szCs w:val="20"/>
        </w:rPr>
        <w:t xml:space="preserve">; it has not been studied in patients with severe </w:t>
      </w:r>
      <w:r w:rsidR="00A458A4">
        <w:rPr>
          <w:rFonts w:ascii="Arial" w:hAnsi="Arial" w:cs="Arial"/>
          <w:color w:val="000000"/>
          <w:sz w:val="20"/>
          <w:szCs w:val="20"/>
        </w:rPr>
        <w:t>hepatic impairment (Child class C)</w:t>
      </w:r>
      <w:r w:rsidRPr="009818AA">
        <w:rPr>
          <w:rFonts w:ascii="Arial" w:hAnsi="Arial" w:cs="Arial"/>
          <w:color w:val="000000"/>
          <w:sz w:val="20"/>
          <w:szCs w:val="20"/>
        </w:rPr>
        <w:t xml:space="preserve">. </w:t>
      </w:r>
    </w:p>
    <w:p w:rsidR="009D7F3C" w:rsidRDefault="009D7F3C" w:rsidP="00857E21">
      <w:pPr>
        <w:spacing w:after="0" w:line="240" w:lineRule="auto"/>
        <w:rPr>
          <w:rFonts w:ascii="Arial" w:hAnsi="Arial" w:cs="Arial"/>
          <w:color w:val="000000"/>
          <w:sz w:val="20"/>
          <w:szCs w:val="20"/>
        </w:rPr>
      </w:pPr>
    </w:p>
    <w:p w:rsidR="009D7F3C" w:rsidRPr="009818AA" w:rsidRDefault="009D7F3C" w:rsidP="00857E21">
      <w:pPr>
        <w:spacing w:after="0" w:line="240" w:lineRule="auto"/>
        <w:rPr>
          <w:rFonts w:ascii="Arial" w:hAnsi="Arial" w:cs="Arial"/>
          <w:color w:val="000000"/>
          <w:sz w:val="20"/>
          <w:szCs w:val="20"/>
        </w:rPr>
      </w:pPr>
      <w:r>
        <w:rPr>
          <w:rFonts w:ascii="Arial" w:hAnsi="Arial" w:cs="Arial"/>
          <w:b/>
          <w:color w:val="000000"/>
          <w:sz w:val="20"/>
          <w:szCs w:val="20"/>
        </w:rPr>
        <w:t xml:space="preserve">Research Data     </w:t>
      </w:r>
      <w:r w:rsidRPr="009818AA">
        <w:rPr>
          <w:rFonts w:ascii="Arial" w:hAnsi="Arial" w:cs="Arial"/>
          <w:color w:val="000000"/>
          <w:sz w:val="20"/>
          <w:szCs w:val="20"/>
        </w:rPr>
        <w:t xml:space="preserve">The FDA approval was based on </w:t>
      </w:r>
      <w:r>
        <w:rPr>
          <w:rFonts w:ascii="Arial" w:hAnsi="Arial" w:cs="Arial"/>
          <w:color w:val="000000"/>
          <w:sz w:val="20"/>
          <w:szCs w:val="20"/>
        </w:rPr>
        <w:t>industry-coordinated, randomized controlled</w:t>
      </w:r>
      <w:r w:rsidRPr="009818AA">
        <w:rPr>
          <w:rFonts w:ascii="Arial" w:hAnsi="Arial" w:cs="Arial"/>
          <w:color w:val="000000"/>
          <w:sz w:val="20"/>
          <w:szCs w:val="20"/>
        </w:rPr>
        <w:t xml:space="preserve"> s</w:t>
      </w:r>
      <w:r>
        <w:rPr>
          <w:rFonts w:ascii="Arial" w:hAnsi="Arial" w:cs="Arial"/>
          <w:color w:val="000000"/>
          <w:sz w:val="20"/>
          <w:szCs w:val="20"/>
        </w:rPr>
        <w:t xml:space="preserve">tudies conducted in patients with </w:t>
      </w:r>
      <w:r w:rsidRPr="009818AA">
        <w:rPr>
          <w:rFonts w:ascii="Arial" w:hAnsi="Arial" w:cs="Arial"/>
          <w:color w:val="000000"/>
          <w:sz w:val="20"/>
          <w:szCs w:val="20"/>
        </w:rPr>
        <w:t>osteoarthritis</w:t>
      </w:r>
      <w:r>
        <w:rPr>
          <w:rFonts w:ascii="Arial" w:hAnsi="Arial" w:cs="Arial"/>
          <w:color w:val="000000"/>
          <w:sz w:val="20"/>
          <w:szCs w:val="20"/>
        </w:rPr>
        <w:t xml:space="preserve"> and after </w:t>
      </w:r>
      <w:proofErr w:type="spellStart"/>
      <w:r>
        <w:rPr>
          <w:rFonts w:ascii="Arial" w:hAnsi="Arial" w:cs="Arial"/>
          <w:color w:val="000000"/>
          <w:sz w:val="20"/>
          <w:szCs w:val="20"/>
        </w:rPr>
        <w:t>bunionectomy</w:t>
      </w:r>
      <w:proofErr w:type="spellEnd"/>
      <w:r w:rsidRPr="009818AA">
        <w:rPr>
          <w:rFonts w:ascii="Arial" w:hAnsi="Arial" w:cs="Arial"/>
          <w:color w:val="000000"/>
          <w:sz w:val="20"/>
          <w:szCs w:val="20"/>
        </w:rPr>
        <w:t>. I</w:t>
      </w:r>
      <w:r>
        <w:rPr>
          <w:rFonts w:ascii="Arial" w:hAnsi="Arial" w:cs="Arial"/>
          <w:color w:val="000000"/>
          <w:sz w:val="20"/>
          <w:szCs w:val="20"/>
        </w:rPr>
        <w:t xml:space="preserve">n these studies 50 mg doses of </w:t>
      </w:r>
      <w:proofErr w:type="spellStart"/>
      <w:r>
        <w:rPr>
          <w:rFonts w:ascii="Arial" w:hAnsi="Arial" w:cs="Arial"/>
          <w:color w:val="000000"/>
          <w:sz w:val="20"/>
          <w:szCs w:val="20"/>
        </w:rPr>
        <w:t>t</w:t>
      </w:r>
      <w:r w:rsidRPr="009818AA">
        <w:rPr>
          <w:rFonts w:ascii="Arial" w:hAnsi="Arial" w:cs="Arial"/>
          <w:color w:val="000000"/>
          <w:sz w:val="20"/>
          <w:szCs w:val="20"/>
        </w:rPr>
        <w:t>apentadol</w:t>
      </w:r>
      <w:proofErr w:type="spellEnd"/>
      <w:r w:rsidRPr="009818AA">
        <w:rPr>
          <w:rFonts w:ascii="Arial" w:hAnsi="Arial" w:cs="Arial"/>
          <w:color w:val="000000"/>
          <w:sz w:val="20"/>
          <w:szCs w:val="20"/>
        </w:rPr>
        <w:t xml:space="preserve"> was </w:t>
      </w:r>
      <w:r>
        <w:rPr>
          <w:rFonts w:ascii="Arial" w:hAnsi="Arial" w:cs="Arial"/>
          <w:color w:val="000000"/>
          <w:sz w:val="20"/>
          <w:szCs w:val="20"/>
        </w:rPr>
        <w:t xml:space="preserve">shown to be non-inferior to </w:t>
      </w:r>
      <w:r w:rsidR="008D1A99" w:rsidRPr="00C2594C">
        <w:rPr>
          <w:rFonts w:ascii="Arial" w:hAnsi="Arial" w:cs="Arial"/>
          <w:color w:val="000000"/>
          <w:sz w:val="20"/>
          <w:szCs w:val="20"/>
        </w:rPr>
        <w:t xml:space="preserve">10 mg of </w:t>
      </w:r>
      <w:r w:rsidRPr="00C2594C">
        <w:rPr>
          <w:rFonts w:ascii="Arial" w:hAnsi="Arial" w:cs="Arial"/>
          <w:color w:val="000000"/>
          <w:sz w:val="20"/>
          <w:szCs w:val="20"/>
        </w:rPr>
        <w:t>oxycodone</w:t>
      </w:r>
      <w:r>
        <w:rPr>
          <w:rFonts w:ascii="Arial" w:hAnsi="Arial" w:cs="Arial"/>
          <w:color w:val="000000"/>
          <w:sz w:val="20"/>
          <w:szCs w:val="20"/>
        </w:rPr>
        <w:t xml:space="preserve"> immediate-rel</w:t>
      </w:r>
      <w:r w:rsidR="008D1A99">
        <w:rPr>
          <w:rFonts w:ascii="Arial" w:hAnsi="Arial" w:cs="Arial"/>
          <w:color w:val="000000"/>
          <w:sz w:val="20"/>
          <w:szCs w:val="20"/>
        </w:rPr>
        <w:t>ease</w:t>
      </w:r>
      <w:r>
        <w:rPr>
          <w:rFonts w:ascii="Arial" w:hAnsi="Arial" w:cs="Arial"/>
          <w:color w:val="000000"/>
          <w:sz w:val="20"/>
          <w:szCs w:val="20"/>
        </w:rPr>
        <w:t xml:space="preserve"> </w:t>
      </w:r>
      <w:r w:rsidRPr="009818AA">
        <w:rPr>
          <w:rFonts w:ascii="Arial" w:hAnsi="Arial" w:cs="Arial"/>
          <w:color w:val="000000"/>
          <w:sz w:val="20"/>
          <w:szCs w:val="20"/>
        </w:rPr>
        <w:t xml:space="preserve">in </w:t>
      </w:r>
      <w:r w:rsidR="008D1A99">
        <w:rPr>
          <w:rFonts w:ascii="Arial" w:hAnsi="Arial" w:cs="Arial"/>
          <w:color w:val="000000"/>
          <w:sz w:val="20"/>
          <w:szCs w:val="20"/>
        </w:rPr>
        <w:t xml:space="preserve">the </w:t>
      </w:r>
      <w:r w:rsidRPr="009818AA">
        <w:rPr>
          <w:rFonts w:ascii="Arial" w:hAnsi="Arial" w:cs="Arial"/>
          <w:color w:val="000000"/>
          <w:sz w:val="20"/>
          <w:szCs w:val="20"/>
        </w:rPr>
        <w:t>treatment of pain, but the incidence of nausea, vomiting, dizziness,</w:t>
      </w:r>
      <w:r w:rsidR="00C059A7">
        <w:rPr>
          <w:rFonts w:ascii="Arial" w:hAnsi="Arial" w:cs="Arial"/>
          <w:color w:val="000000"/>
          <w:sz w:val="20"/>
          <w:szCs w:val="20"/>
        </w:rPr>
        <w:t xml:space="preserve"> and</w:t>
      </w:r>
      <w:r w:rsidRPr="009818AA">
        <w:rPr>
          <w:rFonts w:ascii="Arial" w:hAnsi="Arial" w:cs="Arial"/>
          <w:color w:val="000000"/>
          <w:sz w:val="20"/>
          <w:szCs w:val="20"/>
        </w:rPr>
        <w:t xml:space="preserve"> constipation was significantly lower</w:t>
      </w:r>
      <w:r w:rsidR="008D1A99">
        <w:rPr>
          <w:rFonts w:ascii="Arial" w:hAnsi="Arial" w:cs="Arial"/>
          <w:color w:val="000000"/>
          <w:sz w:val="20"/>
          <w:szCs w:val="20"/>
        </w:rPr>
        <w:t xml:space="preserve"> (2,3).</w:t>
      </w:r>
      <w:r w:rsidRPr="009818AA">
        <w:rPr>
          <w:rFonts w:ascii="Arial" w:hAnsi="Arial" w:cs="Arial"/>
          <w:color w:val="000000"/>
          <w:sz w:val="20"/>
          <w:szCs w:val="20"/>
        </w:rPr>
        <w:t xml:space="preserve">  In </w:t>
      </w:r>
      <w:r w:rsidR="008D1A99">
        <w:rPr>
          <w:rFonts w:ascii="Arial" w:hAnsi="Arial" w:cs="Arial"/>
          <w:color w:val="000000"/>
          <w:sz w:val="20"/>
          <w:szCs w:val="20"/>
        </w:rPr>
        <w:t>another</w:t>
      </w:r>
      <w:r w:rsidR="005B51B8">
        <w:rPr>
          <w:rFonts w:ascii="Arial" w:hAnsi="Arial" w:cs="Arial"/>
          <w:color w:val="000000"/>
          <w:sz w:val="20"/>
          <w:szCs w:val="20"/>
        </w:rPr>
        <w:t xml:space="preserve"> single-dose</w:t>
      </w:r>
      <w:r w:rsidR="008D1A99">
        <w:rPr>
          <w:rFonts w:ascii="Arial" w:hAnsi="Arial" w:cs="Arial"/>
          <w:color w:val="000000"/>
          <w:sz w:val="20"/>
          <w:szCs w:val="20"/>
        </w:rPr>
        <w:t xml:space="preserve"> study involving </w:t>
      </w:r>
      <w:r w:rsidRPr="009818AA">
        <w:rPr>
          <w:rFonts w:ascii="Arial" w:hAnsi="Arial" w:cs="Arial"/>
          <w:color w:val="000000"/>
          <w:sz w:val="20"/>
          <w:szCs w:val="20"/>
        </w:rPr>
        <w:t xml:space="preserve">patients </w:t>
      </w:r>
      <w:r w:rsidR="008D1A99">
        <w:rPr>
          <w:rFonts w:ascii="Arial" w:hAnsi="Arial" w:cs="Arial"/>
          <w:color w:val="000000"/>
          <w:sz w:val="20"/>
          <w:szCs w:val="20"/>
        </w:rPr>
        <w:t xml:space="preserve">undergoing </w:t>
      </w:r>
      <w:r w:rsidRPr="009818AA">
        <w:rPr>
          <w:rFonts w:ascii="Arial" w:hAnsi="Arial" w:cs="Arial"/>
          <w:color w:val="000000"/>
          <w:sz w:val="20"/>
          <w:szCs w:val="20"/>
        </w:rPr>
        <w:t xml:space="preserve">molar extraction, </w:t>
      </w:r>
      <w:proofErr w:type="spellStart"/>
      <w:r>
        <w:rPr>
          <w:rFonts w:ascii="Arial" w:hAnsi="Arial" w:cs="Arial"/>
          <w:color w:val="000000"/>
          <w:sz w:val="20"/>
          <w:szCs w:val="20"/>
        </w:rPr>
        <w:t>t</w:t>
      </w:r>
      <w:r w:rsidRPr="009818AA">
        <w:rPr>
          <w:rFonts w:ascii="Arial" w:hAnsi="Arial" w:cs="Arial"/>
          <w:color w:val="000000"/>
          <w:sz w:val="20"/>
          <w:szCs w:val="20"/>
        </w:rPr>
        <w:t>apentadol</w:t>
      </w:r>
      <w:proofErr w:type="spellEnd"/>
      <w:r w:rsidRPr="009818AA">
        <w:rPr>
          <w:rFonts w:ascii="Arial" w:hAnsi="Arial" w:cs="Arial"/>
          <w:color w:val="000000"/>
          <w:sz w:val="20"/>
          <w:szCs w:val="20"/>
        </w:rPr>
        <w:t xml:space="preserve"> 200 mg demonstrated </w:t>
      </w:r>
      <w:r w:rsidR="008D1A99">
        <w:rPr>
          <w:rFonts w:ascii="Arial" w:hAnsi="Arial" w:cs="Arial"/>
          <w:color w:val="000000"/>
          <w:sz w:val="20"/>
          <w:szCs w:val="20"/>
        </w:rPr>
        <w:t>improved analgesia</w:t>
      </w:r>
      <w:r w:rsidRPr="009818AA">
        <w:rPr>
          <w:rFonts w:ascii="Arial" w:hAnsi="Arial" w:cs="Arial"/>
          <w:color w:val="000000"/>
          <w:sz w:val="20"/>
          <w:szCs w:val="20"/>
        </w:rPr>
        <w:t xml:space="preserve"> but higher sedation than 60 mg of </w:t>
      </w:r>
      <w:r w:rsidR="005B51B8">
        <w:rPr>
          <w:rFonts w:ascii="Arial" w:hAnsi="Arial" w:cs="Arial"/>
          <w:color w:val="000000"/>
          <w:sz w:val="20"/>
          <w:szCs w:val="20"/>
        </w:rPr>
        <w:t xml:space="preserve">oral </w:t>
      </w:r>
      <w:r w:rsidRPr="009818AA">
        <w:rPr>
          <w:rFonts w:ascii="Arial" w:hAnsi="Arial" w:cs="Arial"/>
          <w:color w:val="000000"/>
          <w:sz w:val="20"/>
          <w:szCs w:val="20"/>
        </w:rPr>
        <w:t>morphine</w:t>
      </w:r>
      <w:r w:rsidR="005B51B8">
        <w:rPr>
          <w:rFonts w:ascii="Arial" w:hAnsi="Arial" w:cs="Arial"/>
          <w:color w:val="000000"/>
          <w:sz w:val="20"/>
          <w:szCs w:val="20"/>
        </w:rPr>
        <w:t xml:space="preserve"> (4)</w:t>
      </w:r>
      <w:r w:rsidRPr="009818AA">
        <w:rPr>
          <w:rFonts w:ascii="Arial" w:hAnsi="Arial" w:cs="Arial"/>
          <w:color w:val="000000"/>
          <w:sz w:val="20"/>
          <w:szCs w:val="20"/>
        </w:rPr>
        <w:t>.</w:t>
      </w:r>
      <w:r w:rsidR="005B51B8">
        <w:rPr>
          <w:rFonts w:ascii="Arial" w:hAnsi="Arial" w:cs="Arial"/>
          <w:color w:val="000000"/>
          <w:sz w:val="20"/>
          <w:szCs w:val="20"/>
        </w:rPr>
        <w:t xml:space="preserve"> </w:t>
      </w:r>
      <w:r>
        <w:rPr>
          <w:rFonts w:ascii="Arial" w:hAnsi="Arial" w:cs="Arial"/>
          <w:color w:val="000000"/>
          <w:sz w:val="20"/>
          <w:szCs w:val="20"/>
        </w:rPr>
        <w:t xml:space="preserve"> </w:t>
      </w:r>
      <w:r w:rsidR="0023647F">
        <w:rPr>
          <w:rFonts w:ascii="Arial" w:hAnsi="Arial" w:cs="Arial"/>
          <w:color w:val="000000"/>
          <w:sz w:val="20"/>
          <w:szCs w:val="20"/>
        </w:rPr>
        <w:t>Total daily d</w:t>
      </w:r>
      <w:r w:rsidRPr="009818AA">
        <w:rPr>
          <w:rFonts w:ascii="Arial" w:hAnsi="Arial" w:cs="Arial"/>
          <w:color w:val="000000"/>
          <w:sz w:val="20"/>
          <w:szCs w:val="20"/>
        </w:rPr>
        <w:t xml:space="preserve">oses greater than 700 mg on the first day </w:t>
      </w:r>
      <w:r w:rsidR="00C059A7">
        <w:rPr>
          <w:rFonts w:ascii="Arial" w:hAnsi="Arial" w:cs="Arial"/>
          <w:color w:val="000000"/>
          <w:sz w:val="20"/>
          <w:szCs w:val="20"/>
        </w:rPr>
        <w:t xml:space="preserve">of therapy </w:t>
      </w:r>
      <w:r w:rsidRPr="009818AA">
        <w:rPr>
          <w:rFonts w:ascii="Arial" w:hAnsi="Arial" w:cs="Arial"/>
          <w:color w:val="000000"/>
          <w:sz w:val="20"/>
          <w:szCs w:val="20"/>
        </w:rPr>
        <w:t>and 600 mg on subsequent days have not been tested</w:t>
      </w:r>
      <w:r w:rsidR="005B51B8">
        <w:rPr>
          <w:rFonts w:ascii="Arial" w:hAnsi="Arial" w:cs="Arial"/>
          <w:color w:val="000000"/>
          <w:sz w:val="20"/>
          <w:szCs w:val="20"/>
        </w:rPr>
        <w:t>, nor has</w:t>
      </w:r>
      <w:r w:rsidR="00C059A7">
        <w:rPr>
          <w:rFonts w:ascii="Arial" w:hAnsi="Arial" w:cs="Arial"/>
          <w:color w:val="000000"/>
          <w:sz w:val="20"/>
          <w:szCs w:val="20"/>
        </w:rPr>
        <w:t xml:space="preserve"> </w:t>
      </w:r>
      <w:proofErr w:type="spellStart"/>
      <w:r w:rsidR="00C059A7">
        <w:rPr>
          <w:rFonts w:ascii="Arial" w:hAnsi="Arial" w:cs="Arial"/>
          <w:color w:val="000000"/>
          <w:sz w:val="20"/>
          <w:szCs w:val="20"/>
        </w:rPr>
        <w:t>tapentadol</w:t>
      </w:r>
      <w:proofErr w:type="spellEnd"/>
      <w:r w:rsidR="00C059A7">
        <w:rPr>
          <w:rFonts w:ascii="Arial" w:hAnsi="Arial" w:cs="Arial"/>
          <w:color w:val="000000"/>
          <w:sz w:val="20"/>
          <w:szCs w:val="20"/>
        </w:rPr>
        <w:t xml:space="preserve"> </w:t>
      </w:r>
      <w:r w:rsidR="005B51B8">
        <w:rPr>
          <w:rFonts w:ascii="Arial" w:hAnsi="Arial" w:cs="Arial"/>
          <w:color w:val="000000"/>
          <w:sz w:val="20"/>
          <w:szCs w:val="20"/>
        </w:rPr>
        <w:t xml:space="preserve">been studied in children. </w:t>
      </w:r>
      <w:proofErr w:type="spellStart"/>
      <w:r w:rsidRPr="009818AA">
        <w:rPr>
          <w:rFonts w:ascii="Arial" w:hAnsi="Arial" w:cs="Arial"/>
          <w:color w:val="000000"/>
          <w:sz w:val="20"/>
          <w:szCs w:val="20"/>
        </w:rPr>
        <w:t>Tapentadol</w:t>
      </w:r>
      <w:proofErr w:type="spellEnd"/>
      <w:r w:rsidRPr="009818AA">
        <w:rPr>
          <w:rFonts w:ascii="Arial" w:hAnsi="Arial" w:cs="Arial"/>
          <w:color w:val="000000"/>
          <w:sz w:val="20"/>
          <w:szCs w:val="20"/>
        </w:rPr>
        <w:t xml:space="preserve"> has not been tested</w:t>
      </w:r>
      <w:r w:rsidR="00A86F96">
        <w:rPr>
          <w:rFonts w:ascii="Arial" w:hAnsi="Arial" w:cs="Arial"/>
          <w:color w:val="000000"/>
          <w:sz w:val="20"/>
          <w:szCs w:val="20"/>
        </w:rPr>
        <w:t xml:space="preserve"> in a randomized, controlled fashion for</w:t>
      </w:r>
      <w:r w:rsidRPr="009818AA">
        <w:rPr>
          <w:rFonts w:ascii="Arial" w:hAnsi="Arial" w:cs="Arial"/>
          <w:color w:val="000000"/>
          <w:sz w:val="20"/>
          <w:szCs w:val="20"/>
        </w:rPr>
        <w:t xml:space="preserve"> cancer pain </w:t>
      </w:r>
      <w:r w:rsidR="00857E21">
        <w:rPr>
          <w:rFonts w:ascii="Arial" w:hAnsi="Arial" w:cs="Arial"/>
          <w:color w:val="000000"/>
          <w:sz w:val="20"/>
          <w:szCs w:val="20"/>
        </w:rPr>
        <w:t>n</w:t>
      </w:r>
      <w:r w:rsidRPr="009818AA">
        <w:rPr>
          <w:rFonts w:ascii="Arial" w:hAnsi="Arial" w:cs="Arial"/>
          <w:color w:val="000000"/>
          <w:sz w:val="20"/>
          <w:szCs w:val="20"/>
        </w:rPr>
        <w:t xml:space="preserve">or </w:t>
      </w:r>
      <w:r>
        <w:rPr>
          <w:rFonts w:ascii="Arial" w:hAnsi="Arial" w:cs="Arial"/>
          <w:color w:val="000000"/>
          <w:sz w:val="20"/>
          <w:szCs w:val="20"/>
        </w:rPr>
        <w:t xml:space="preserve">in </w:t>
      </w:r>
      <w:r w:rsidRPr="009818AA">
        <w:rPr>
          <w:rFonts w:ascii="Arial" w:hAnsi="Arial" w:cs="Arial"/>
          <w:color w:val="000000"/>
          <w:sz w:val="20"/>
          <w:szCs w:val="20"/>
        </w:rPr>
        <w:t>palliative care setting</w:t>
      </w:r>
      <w:r>
        <w:rPr>
          <w:rFonts w:ascii="Arial" w:hAnsi="Arial" w:cs="Arial"/>
          <w:color w:val="000000"/>
          <w:sz w:val="20"/>
          <w:szCs w:val="20"/>
        </w:rPr>
        <w:t>s</w:t>
      </w:r>
      <w:r w:rsidR="00A86F96">
        <w:rPr>
          <w:rFonts w:ascii="Arial" w:hAnsi="Arial" w:cs="Arial"/>
          <w:color w:val="000000"/>
          <w:sz w:val="20"/>
          <w:szCs w:val="20"/>
        </w:rPr>
        <w:t xml:space="preserve">; however, prospective </w:t>
      </w:r>
      <w:r w:rsidR="00E93168">
        <w:rPr>
          <w:rFonts w:ascii="Arial" w:hAnsi="Arial" w:cs="Arial"/>
          <w:color w:val="000000"/>
          <w:sz w:val="20"/>
          <w:szCs w:val="20"/>
        </w:rPr>
        <w:t>observational studies showed it to be well tolerated and effective for opioid naïve (doses 100 mg per day) and opioid tolerant patients (doses 350 to 450 mg per day) with moderate to severe cancer pain (5,6)</w:t>
      </w:r>
      <w:r>
        <w:rPr>
          <w:rFonts w:ascii="Arial" w:hAnsi="Arial" w:cs="Arial"/>
          <w:color w:val="000000"/>
          <w:sz w:val="20"/>
          <w:szCs w:val="20"/>
        </w:rPr>
        <w:t xml:space="preserve">. There </w:t>
      </w:r>
      <w:r w:rsidR="005B51B8">
        <w:rPr>
          <w:rFonts w:ascii="Arial" w:hAnsi="Arial" w:cs="Arial"/>
          <w:color w:val="000000"/>
          <w:sz w:val="20"/>
          <w:szCs w:val="20"/>
        </w:rPr>
        <w:t>are</w:t>
      </w:r>
      <w:r>
        <w:rPr>
          <w:rFonts w:ascii="Arial" w:hAnsi="Arial" w:cs="Arial"/>
          <w:color w:val="000000"/>
          <w:sz w:val="20"/>
          <w:szCs w:val="20"/>
        </w:rPr>
        <w:t xml:space="preserve"> not enough data to comment on whether the drug has a ceiling effect</w:t>
      </w:r>
      <w:r w:rsidR="00C059A7">
        <w:rPr>
          <w:rFonts w:ascii="Arial" w:hAnsi="Arial" w:cs="Arial"/>
          <w:color w:val="000000"/>
          <w:sz w:val="20"/>
          <w:szCs w:val="20"/>
        </w:rPr>
        <w:t xml:space="preserve">, </w:t>
      </w:r>
      <w:r w:rsidR="00857E21">
        <w:rPr>
          <w:rFonts w:ascii="Arial" w:hAnsi="Arial" w:cs="Arial"/>
          <w:color w:val="000000"/>
          <w:sz w:val="20"/>
          <w:szCs w:val="20"/>
        </w:rPr>
        <w:t>nor</w:t>
      </w:r>
      <w:r w:rsidR="005B51B8">
        <w:rPr>
          <w:rFonts w:ascii="Arial" w:hAnsi="Arial" w:cs="Arial"/>
          <w:color w:val="000000"/>
          <w:sz w:val="20"/>
          <w:szCs w:val="20"/>
        </w:rPr>
        <w:t xml:space="preserve"> its long-term safety and efficacy (</w:t>
      </w:r>
      <w:r w:rsidR="00E93168">
        <w:rPr>
          <w:rFonts w:ascii="Arial" w:hAnsi="Arial" w:cs="Arial"/>
          <w:color w:val="000000"/>
          <w:sz w:val="20"/>
          <w:szCs w:val="20"/>
        </w:rPr>
        <w:t>the longest study is a 1 year safety study</w:t>
      </w:r>
      <w:r w:rsidR="005B51B8">
        <w:rPr>
          <w:rFonts w:ascii="Arial" w:hAnsi="Arial" w:cs="Arial"/>
          <w:color w:val="000000"/>
          <w:sz w:val="20"/>
          <w:szCs w:val="20"/>
        </w:rPr>
        <w:t>).</w:t>
      </w:r>
      <w:r w:rsidR="00E93168">
        <w:rPr>
          <w:rFonts w:ascii="Arial" w:hAnsi="Arial" w:cs="Arial"/>
          <w:color w:val="000000"/>
          <w:sz w:val="20"/>
          <w:szCs w:val="20"/>
        </w:rPr>
        <w:t xml:space="preserve"> </w:t>
      </w:r>
      <w:r w:rsidR="000178E9">
        <w:rPr>
          <w:rFonts w:ascii="Arial" w:hAnsi="Arial" w:cs="Arial"/>
          <w:color w:val="000000"/>
          <w:sz w:val="20"/>
          <w:szCs w:val="20"/>
        </w:rPr>
        <w:t>It</w:t>
      </w:r>
      <w:r>
        <w:rPr>
          <w:rFonts w:ascii="Arial" w:hAnsi="Arial" w:cs="Arial"/>
          <w:color w:val="000000"/>
          <w:sz w:val="20"/>
          <w:szCs w:val="20"/>
        </w:rPr>
        <w:t xml:space="preserve"> has not been comparatively studied against tramadol.</w:t>
      </w:r>
    </w:p>
    <w:p w:rsidR="009D7F3C" w:rsidRDefault="009D7F3C" w:rsidP="00857E21">
      <w:pPr>
        <w:spacing w:after="0" w:line="240" w:lineRule="auto"/>
        <w:rPr>
          <w:rFonts w:ascii="Arial" w:hAnsi="Arial" w:cs="Arial"/>
          <w:b/>
          <w:color w:val="000000"/>
          <w:sz w:val="20"/>
          <w:szCs w:val="20"/>
        </w:rPr>
      </w:pPr>
    </w:p>
    <w:p w:rsidR="009D7F3C" w:rsidRDefault="009D7F3C" w:rsidP="00857E21">
      <w:pPr>
        <w:spacing w:after="0" w:line="240" w:lineRule="auto"/>
        <w:rPr>
          <w:rFonts w:ascii="Arial" w:hAnsi="Arial" w:cs="Arial"/>
          <w:b/>
          <w:color w:val="000000"/>
          <w:sz w:val="20"/>
          <w:szCs w:val="20"/>
        </w:rPr>
      </w:pPr>
      <w:r>
        <w:rPr>
          <w:rFonts w:ascii="Arial" w:hAnsi="Arial" w:cs="Arial"/>
          <w:b/>
          <w:color w:val="000000"/>
          <w:sz w:val="20"/>
          <w:szCs w:val="20"/>
        </w:rPr>
        <w:t>Side Effects and Cautions</w:t>
      </w:r>
      <w:r w:rsidRPr="001A3B61">
        <w:rPr>
          <w:rFonts w:ascii="Arial" w:hAnsi="Arial" w:cs="Arial"/>
          <w:color w:val="000000"/>
          <w:sz w:val="20"/>
          <w:szCs w:val="20"/>
        </w:rPr>
        <w:t xml:space="preserve"> </w:t>
      </w:r>
      <w:r>
        <w:rPr>
          <w:rFonts w:ascii="Arial" w:hAnsi="Arial" w:cs="Arial"/>
          <w:color w:val="000000"/>
          <w:sz w:val="20"/>
          <w:szCs w:val="20"/>
        </w:rPr>
        <w:t xml:space="preserve">   </w:t>
      </w:r>
      <w:proofErr w:type="spellStart"/>
      <w:r>
        <w:rPr>
          <w:rFonts w:ascii="Arial" w:hAnsi="Arial" w:cs="Arial"/>
          <w:color w:val="000000"/>
          <w:sz w:val="20"/>
          <w:szCs w:val="20"/>
        </w:rPr>
        <w:t>Tapentadol’s</w:t>
      </w:r>
      <w:proofErr w:type="spellEnd"/>
      <w:r>
        <w:rPr>
          <w:rFonts w:ascii="Arial" w:hAnsi="Arial" w:cs="Arial"/>
          <w:color w:val="000000"/>
          <w:sz w:val="20"/>
          <w:szCs w:val="20"/>
        </w:rPr>
        <w:t xml:space="preserve"> side effect</w:t>
      </w:r>
      <w:r w:rsidRPr="009818AA">
        <w:rPr>
          <w:rFonts w:ascii="Arial" w:hAnsi="Arial" w:cs="Arial"/>
          <w:color w:val="000000"/>
          <w:sz w:val="20"/>
          <w:szCs w:val="20"/>
        </w:rPr>
        <w:t xml:space="preserve"> </w:t>
      </w:r>
      <w:r>
        <w:rPr>
          <w:rFonts w:ascii="Arial" w:hAnsi="Arial" w:cs="Arial"/>
          <w:color w:val="000000"/>
          <w:sz w:val="20"/>
          <w:szCs w:val="20"/>
        </w:rPr>
        <w:t>profile is generally similar to opioids</w:t>
      </w:r>
      <w:r w:rsidRPr="009818AA">
        <w:rPr>
          <w:rFonts w:ascii="Arial" w:hAnsi="Arial" w:cs="Arial"/>
          <w:color w:val="000000"/>
          <w:sz w:val="20"/>
          <w:szCs w:val="20"/>
        </w:rPr>
        <w:t>: nausea, vomiting, constipation,</w:t>
      </w:r>
      <w:r>
        <w:rPr>
          <w:rFonts w:ascii="Arial" w:hAnsi="Arial" w:cs="Arial"/>
          <w:color w:val="000000"/>
          <w:sz w:val="20"/>
          <w:szCs w:val="20"/>
        </w:rPr>
        <w:t xml:space="preserve"> </w:t>
      </w:r>
      <w:r w:rsidR="000178E9">
        <w:rPr>
          <w:rFonts w:ascii="Arial" w:hAnsi="Arial" w:cs="Arial"/>
          <w:color w:val="000000"/>
          <w:sz w:val="20"/>
          <w:szCs w:val="20"/>
        </w:rPr>
        <w:t xml:space="preserve">addiction, </w:t>
      </w:r>
      <w:r>
        <w:rPr>
          <w:rFonts w:ascii="Arial" w:hAnsi="Arial" w:cs="Arial"/>
          <w:color w:val="000000"/>
          <w:sz w:val="20"/>
          <w:szCs w:val="20"/>
        </w:rPr>
        <w:t xml:space="preserve">respiratory depression, pruritus, dizziness and drowsiness.  </w:t>
      </w:r>
      <w:r w:rsidR="00857E21">
        <w:rPr>
          <w:rFonts w:ascii="Arial" w:hAnsi="Arial" w:cs="Arial"/>
          <w:color w:val="000000"/>
          <w:sz w:val="20"/>
          <w:szCs w:val="20"/>
        </w:rPr>
        <w:t>A</w:t>
      </w:r>
      <w:r w:rsidR="000178E9">
        <w:rPr>
          <w:rFonts w:ascii="Arial" w:hAnsi="Arial" w:cs="Arial"/>
          <w:color w:val="000000"/>
          <w:sz w:val="20"/>
          <w:szCs w:val="20"/>
        </w:rPr>
        <w:t xml:space="preserve"> pooled analysis of randomized controlled trials </w:t>
      </w:r>
      <w:r w:rsidR="00857E21">
        <w:rPr>
          <w:rFonts w:ascii="Arial" w:hAnsi="Arial" w:cs="Arial"/>
          <w:color w:val="000000"/>
          <w:sz w:val="20"/>
          <w:szCs w:val="20"/>
        </w:rPr>
        <w:t>suggest</w:t>
      </w:r>
      <w:r w:rsidR="000178E9">
        <w:rPr>
          <w:rFonts w:ascii="Arial" w:hAnsi="Arial" w:cs="Arial"/>
          <w:color w:val="000000"/>
          <w:sz w:val="20"/>
          <w:szCs w:val="20"/>
        </w:rPr>
        <w:t xml:space="preserve"> that gastro-intestinal side effects are likely milder than other opioids (7). </w:t>
      </w:r>
      <w:r>
        <w:rPr>
          <w:rFonts w:ascii="Arial" w:hAnsi="Arial" w:cs="Arial"/>
          <w:color w:val="000000"/>
          <w:sz w:val="20"/>
          <w:szCs w:val="20"/>
        </w:rPr>
        <w:t>As with tramadol, there is a theoretical increased risk of seizures, as well as serotonin syndrome if given with other serotonergic agents (e.g. antidepressants</w:t>
      </w:r>
      <w:r w:rsidR="005B51B8">
        <w:rPr>
          <w:rFonts w:ascii="Arial" w:hAnsi="Arial" w:cs="Arial"/>
          <w:color w:val="000000"/>
          <w:sz w:val="20"/>
          <w:szCs w:val="20"/>
        </w:rPr>
        <w:t xml:space="preserve">, drugs with </w:t>
      </w:r>
      <w:proofErr w:type="spellStart"/>
      <w:r w:rsidR="005B51B8">
        <w:rPr>
          <w:rFonts w:ascii="Arial" w:hAnsi="Arial" w:cs="Arial"/>
          <w:color w:val="000000"/>
          <w:sz w:val="20"/>
          <w:szCs w:val="20"/>
        </w:rPr>
        <w:t>monamine</w:t>
      </w:r>
      <w:proofErr w:type="spellEnd"/>
      <w:r w:rsidR="005B51B8">
        <w:rPr>
          <w:rFonts w:ascii="Arial" w:hAnsi="Arial" w:cs="Arial"/>
          <w:color w:val="000000"/>
          <w:sz w:val="20"/>
          <w:szCs w:val="20"/>
        </w:rPr>
        <w:t xml:space="preserve"> oxidase inhibitory effects</w:t>
      </w:r>
      <w:r>
        <w:rPr>
          <w:rFonts w:ascii="Arial" w:hAnsi="Arial" w:cs="Arial"/>
          <w:color w:val="000000"/>
          <w:sz w:val="20"/>
          <w:szCs w:val="20"/>
        </w:rPr>
        <w:t xml:space="preserve">).  Abuse and addiction are possible as with any opioid agonist.  </w:t>
      </w:r>
      <w:r w:rsidR="005B51B8">
        <w:rPr>
          <w:rFonts w:ascii="Arial" w:hAnsi="Arial" w:cs="Arial"/>
          <w:color w:val="000000"/>
          <w:sz w:val="20"/>
          <w:szCs w:val="20"/>
        </w:rPr>
        <w:t>An abstinence syndrome has not yet been described; i</w:t>
      </w:r>
      <w:r>
        <w:rPr>
          <w:rFonts w:ascii="Arial" w:hAnsi="Arial" w:cs="Arial"/>
          <w:color w:val="000000"/>
          <w:sz w:val="20"/>
          <w:szCs w:val="20"/>
        </w:rPr>
        <w:t>n one study d</w:t>
      </w:r>
      <w:r w:rsidRPr="009818AA">
        <w:rPr>
          <w:rFonts w:ascii="Arial" w:hAnsi="Arial" w:cs="Arial"/>
          <w:color w:val="000000"/>
          <w:sz w:val="20"/>
          <w:szCs w:val="20"/>
        </w:rPr>
        <w:t xml:space="preserve">rug tapering </w:t>
      </w:r>
      <w:r>
        <w:rPr>
          <w:rFonts w:ascii="Arial" w:hAnsi="Arial" w:cs="Arial"/>
          <w:color w:val="000000"/>
          <w:sz w:val="20"/>
          <w:szCs w:val="20"/>
        </w:rPr>
        <w:t>was</w:t>
      </w:r>
      <w:r w:rsidRPr="009818AA">
        <w:rPr>
          <w:rFonts w:ascii="Arial" w:hAnsi="Arial" w:cs="Arial"/>
          <w:color w:val="000000"/>
          <w:sz w:val="20"/>
          <w:szCs w:val="20"/>
        </w:rPr>
        <w:t xml:space="preserve"> not required after 90 days of treatment</w:t>
      </w:r>
      <w:r w:rsidR="005B51B8">
        <w:rPr>
          <w:rFonts w:ascii="Arial" w:hAnsi="Arial" w:cs="Arial"/>
          <w:color w:val="000000"/>
          <w:sz w:val="20"/>
          <w:szCs w:val="20"/>
        </w:rPr>
        <w:t xml:space="preserve"> </w:t>
      </w:r>
      <w:r>
        <w:rPr>
          <w:rFonts w:ascii="Arial" w:hAnsi="Arial" w:cs="Arial"/>
          <w:color w:val="000000"/>
          <w:sz w:val="20"/>
          <w:szCs w:val="20"/>
        </w:rPr>
        <w:t>(2)</w:t>
      </w:r>
      <w:r w:rsidRPr="009818AA">
        <w:rPr>
          <w:rFonts w:ascii="Arial" w:hAnsi="Arial" w:cs="Arial"/>
          <w:color w:val="000000"/>
          <w:sz w:val="20"/>
          <w:szCs w:val="20"/>
        </w:rPr>
        <w:t>.</w:t>
      </w:r>
      <w:r w:rsidR="005B51B8" w:rsidDel="005B51B8">
        <w:rPr>
          <w:rFonts w:ascii="Arial" w:hAnsi="Arial" w:cs="Arial"/>
          <w:color w:val="000000"/>
          <w:sz w:val="20"/>
          <w:szCs w:val="20"/>
        </w:rPr>
        <w:t xml:space="preserve"> </w:t>
      </w:r>
    </w:p>
    <w:p w:rsidR="009D7F3C" w:rsidRDefault="009D7F3C" w:rsidP="00857E21">
      <w:pPr>
        <w:spacing w:after="0" w:line="240" w:lineRule="auto"/>
        <w:rPr>
          <w:rFonts w:ascii="Arial" w:hAnsi="Arial" w:cs="Arial"/>
          <w:b/>
          <w:color w:val="000000"/>
          <w:sz w:val="20"/>
          <w:szCs w:val="20"/>
        </w:rPr>
      </w:pPr>
    </w:p>
    <w:p w:rsidR="009D7F3C" w:rsidRPr="009818AA" w:rsidRDefault="009D7F3C" w:rsidP="00857E21">
      <w:pPr>
        <w:spacing w:after="0" w:line="240" w:lineRule="auto"/>
        <w:rPr>
          <w:rFonts w:ascii="Arial" w:hAnsi="Arial" w:cs="Arial"/>
          <w:color w:val="000000"/>
          <w:sz w:val="20"/>
          <w:szCs w:val="20"/>
        </w:rPr>
      </w:pPr>
      <w:r>
        <w:rPr>
          <w:rFonts w:ascii="Arial" w:hAnsi="Arial" w:cs="Arial"/>
          <w:b/>
          <w:color w:val="000000"/>
          <w:sz w:val="20"/>
          <w:szCs w:val="20"/>
        </w:rPr>
        <w:t xml:space="preserve">Dosing and Cost     </w:t>
      </w:r>
      <w:proofErr w:type="spellStart"/>
      <w:r w:rsidRPr="009818AA">
        <w:rPr>
          <w:rFonts w:ascii="Arial" w:hAnsi="Arial" w:cs="Arial"/>
          <w:color w:val="000000"/>
          <w:sz w:val="20"/>
          <w:szCs w:val="20"/>
        </w:rPr>
        <w:t>Tapentadol</w:t>
      </w:r>
      <w:proofErr w:type="spellEnd"/>
      <w:r w:rsidRPr="009818AA">
        <w:rPr>
          <w:rFonts w:ascii="Arial" w:hAnsi="Arial" w:cs="Arial"/>
          <w:color w:val="000000"/>
          <w:sz w:val="20"/>
          <w:szCs w:val="20"/>
        </w:rPr>
        <w:t xml:space="preserve"> is available as 50, 75 and 100 mg immediate-release tablets</w:t>
      </w:r>
      <w:r w:rsidR="000178E9">
        <w:rPr>
          <w:rFonts w:ascii="Arial" w:hAnsi="Arial" w:cs="Arial"/>
          <w:color w:val="000000"/>
          <w:sz w:val="20"/>
          <w:szCs w:val="20"/>
        </w:rPr>
        <w:t xml:space="preserve"> and 50, 100, 150, 200, and 250 mg extended release tablets</w:t>
      </w:r>
      <w:r w:rsidRPr="009818AA">
        <w:rPr>
          <w:rFonts w:ascii="Arial" w:hAnsi="Arial" w:cs="Arial"/>
          <w:color w:val="000000"/>
          <w:sz w:val="20"/>
          <w:szCs w:val="20"/>
        </w:rPr>
        <w:t xml:space="preserve">. The initial dose is 50-100 mg every 4 hours (although a second dose can be given one </w:t>
      </w:r>
      <w:r>
        <w:rPr>
          <w:rFonts w:ascii="Arial" w:hAnsi="Arial" w:cs="Arial"/>
          <w:color w:val="000000"/>
          <w:sz w:val="20"/>
          <w:szCs w:val="20"/>
        </w:rPr>
        <w:t>hour after the initial dose).</w:t>
      </w:r>
      <w:r w:rsidRPr="009818AA">
        <w:rPr>
          <w:rFonts w:ascii="Arial" w:hAnsi="Arial" w:cs="Arial"/>
          <w:color w:val="000000"/>
          <w:sz w:val="20"/>
          <w:szCs w:val="20"/>
        </w:rPr>
        <w:t xml:space="preserve"> The average wholesale pricing for </w:t>
      </w:r>
      <w:proofErr w:type="spellStart"/>
      <w:r>
        <w:rPr>
          <w:rFonts w:ascii="Arial" w:hAnsi="Arial" w:cs="Arial"/>
          <w:color w:val="000000"/>
          <w:sz w:val="20"/>
          <w:szCs w:val="20"/>
        </w:rPr>
        <w:t>t</w:t>
      </w:r>
      <w:r w:rsidRPr="009818AA">
        <w:rPr>
          <w:rFonts w:ascii="Arial" w:hAnsi="Arial" w:cs="Arial"/>
          <w:color w:val="000000"/>
          <w:sz w:val="20"/>
          <w:szCs w:val="20"/>
        </w:rPr>
        <w:t>apentadol</w:t>
      </w:r>
      <w:proofErr w:type="spellEnd"/>
      <w:r w:rsidRPr="009818AA">
        <w:rPr>
          <w:rFonts w:ascii="Arial" w:hAnsi="Arial" w:cs="Arial"/>
          <w:color w:val="000000"/>
          <w:sz w:val="20"/>
          <w:szCs w:val="20"/>
        </w:rPr>
        <w:t xml:space="preserve"> is approximately $</w:t>
      </w:r>
      <w:r w:rsidR="000178E9">
        <w:rPr>
          <w:rFonts w:ascii="Arial" w:hAnsi="Arial" w:cs="Arial"/>
          <w:color w:val="000000"/>
          <w:sz w:val="20"/>
          <w:szCs w:val="20"/>
        </w:rPr>
        <w:t>5 to $7</w:t>
      </w:r>
      <w:r w:rsidR="00C059A7">
        <w:rPr>
          <w:rFonts w:ascii="Arial" w:hAnsi="Arial" w:cs="Arial"/>
          <w:color w:val="000000"/>
          <w:sz w:val="20"/>
          <w:szCs w:val="20"/>
        </w:rPr>
        <w:t xml:space="preserve"> per </w:t>
      </w:r>
      <w:r w:rsidR="000178E9">
        <w:rPr>
          <w:rFonts w:ascii="Arial" w:hAnsi="Arial" w:cs="Arial"/>
          <w:color w:val="000000"/>
          <w:sz w:val="20"/>
          <w:szCs w:val="20"/>
        </w:rPr>
        <w:t>immediate release</w:t>
      </w:r>
      <w:r w:rsidR="00C059A7">
        <w:rPr>
          <w:rFonts w:ascii="Arial" w:hAnsi="Arial" w:cs="Arial"/>
          <w:color w:val="000000"/>
          <w:sz w:val="20"/>
          <w:szCs w:val="20"/>
        </w:rPr>
        <w:t xml:space="preserve"> tab</w:t>
      </w:r>
      <w:r w:rsidR="000178E9">
        <w:rPr>
          <w:rFonts w:ascii="Arial" w:hAnsi="Arial" w:cs="Arial"/>
          <w:color w:val="000000"/>
          <w:sz w:val="20"/>
          <w:szCs w:val="20"/>
        </w:rPr>
        <w:t xml:space="preserve"> and </w:t>
      </w:r>
      <w:r w:rsidR="00857E21">
        <w:rPr>
          <w:rFonts w:ascii="Arial" w:hAnsi="Arial" w:cs="Arial"/>
          <w:color w:val="000000"/>
          <w:sz w:val="20"/>
          <w:szCs w:val="20"/>
        </w:rPr>
        <w:t>$5 to $15 per extended release tablet</w:t>
      </w:r>
      <w:r w:rsidR="00C059A7">
        <w:rPr>
          <w:rFonts w:ascii="Arial" w:hAnsi="Arial" w:cs="Arial"/>
          <w:color w:val="000000"/>
          <w:sz w:val="20"/>
          <w:szCs w:val="20"/>
        </w:rPr>
        <w:t>.  For comparison, t</w:t>
      </w:r>
      <w:r w:rsidR="00F1089F">
        <w:rPr>
          <w:rFonts w:ascii="Arial" w:hAnsi="Arial" w:cs="Arial"/>
          <w:color w:val="000000"/>
          <w:sz w:val="20"/>
          <w:szCs w:val="20"/>
        </w:rPr>
        <w:t>ramadol costs $0.07</w:t>
      </w:r>
      <w:r w:rsidR="00C059A7">
        <w:rPr>
          <w:rFonts w:ascii="Arial" w:hAnsi="Arial" w:cs="Arial"/>
          <w:color w:val="000000"/>
          <w:sz w:val="20"/>
          <w:szCs w:val="20"/>
        </w:rPr>
        <w:t>/tab (50 mg)</w:t>
      </w:r>
      <w:r w:rsidR="00F1089F">
        <w:rPr>
          <w:rFonts w:ascii="Arial" w:hAnsi="Arial" w:cs="Arial"/>
          <w:color w:val="000000"/>
          <w:sz w:val="20"/>
          <w:szCs w:val="20"/>
        </w:rPr>
        <w:t xml:space="preserve">, </w:t>
      </w:r>
      <w:r w:rsidRPr="009818AA">
        <w:rPr>
          <w:rFonts w:ascii="Arial" w:hAnsi="Arial" w:cs="Arial"/>
          <w:color w:val="000000"/>
          <w:sz w:val="20"/>
          <w:szCs w:val="20"/>
        </w:rPr>
        <w:t xml:space="preserve">oxycodone costs $0.70 </w:t>
      </w:r>
      <w:r w:rsidR="00C059A7">
        <w:rPr>
          <w:rFonts w:ascii="Arial" w:hAnsi="Arial" w:cs="Arial"/>
          <w:color w:val="000000"/>
          <w:sz w:val="20"/>
          <w:szCs w:val="20"/>
        </w:rPr>
        <w:t>(15 mg tab),</w:t>
      </w:r>
      <w:r w:rsidRPr="009818AA">
        <w:rPr>
          <w:rFonts w:ascii="Arial" w:hAnsi="Arial" w:cs="Arial"/>
          <w:color w:val="000000"/>
          <w:sz w:val="20"/>
          <w:szCs w:val="20"/>
        </w:rPr>
        <w:t xml:space="preserve"> and morphine costs $0.18 </w:t>
      </w:r>
      <w:r w:rsidR="00C059A7">
        <w:rPr>
          <w:rFonts w:ascii="Arial" w:hAnsi="Arial" w:cs="Arial"/>
          <w:color w:val="000000"/>
          <w:sz w:val="20"/>
          <w:szCs w:val="20"/>
        </w:rPr>
        <w:t xml:space="preserve">(15 mg tab).  </w:t>
      </w:r>
      <w:r w:rsidRPr="009818AA">
        <w:rPr>
          <w:rFonts w:ascii="Arial" w:hAnsi="Arial" w:cs="Arial"/>
          <w:color w:val="000000"/>
          <w:sz w:val="20"/>
          <w:szCs w:val="20"/>
        </w:rPr>
        <w:t xml:space="preserve"> </w:t>
      </w:r>
    </w:p>
    <w:p w:rsidR="009D7F3C" w:rsidRDefault="009D7F3C" w:rsidP="00857E21">
      <w:pPr>
        <w:spacing w:after="0" w:line="240" w:lineRule="auto"/>
        <w:rPr>
          <w:rFonts w:ascii="Arial" w:hAnsi="Arial" w:cs="Arial"/>
          <w:b/>
          <w:color w:val="000000"/>
          <w:sz w:val="20"/>
          <w:szCs w:val="20"/>
        </w:rPr>
      </w:pPr>
    </w:p>
    <w:p w:rsidR="009D7F3C" w:rsidRPr="009818AA" w:rsidRDefault="009D7F3C" w:rsidP="00857E21">
      <w:pPr>
        <w:spacing w:after="0" w:line="240" w:lineRule="auto"/>
        <w:rPr>
          <w:rFonts w:ascii="Arial" w:hAnsi="Arial" w:cs="Arial"/>
          <w:color w:val="000000"/>
          <w:sz w:val="20"/>
          <w:szCs w:val="20"/>
        </w:rPr>
      </w:pPr>
      <w:r>
        <w:rPr>
          <w:rFonts w:ascii="Arial" w:hAnsi="Arial" w:cs="Arial"/>
          <w:b/>
          <w:color w:val="000000"/>
          <w:sz w:val="20"/>
          <w:szCs w:val="20"/>
        </w:rPr>
        <w:t>Summary</w:t>
      </w:r>
      <w:r w:rsidRPr="00555BEA">
        <w:rPr>
          <w:rFonts w:ascii="Arial" w:hAnsi="Arial" w:cs="Arial"/>
          <w:color w:val="000000"/>
          <w:sz w:val="20"/>
          <w:szCs w:val="20"/>
        </w:rPr>
        <w:t xml:space="preserve"> </w:t>
      </w:r>
      <w:r>
        <w:rPr>
          <w:rFonts w:ascii="Arial" w:hAnsi="Arial" w:cs="Arial"/>
          <w:color w:val="000000"/>
          <w:sz w:val="20"/>
          <w:szCs w:val="20"/>
        </w:rPr>
        <w:t xml:space="preserve">   </w:t>
      </w:r>
      <w:proofErr w:type="spellStart"/>
      <w:r>
        <w:rPr>
          <w:rFonts w:ascii="Arial" w:hAnsi="Arial" w:cs="Arial"/>
          <w:color w:val="000000"/>
          <w:sz w:val="20"/>
          <w:szCs w:val="20"/>
        </w:rPr>
        <w:t>Tapen</w:t>
      </w:r>
      <w:r w:rsidR="009616FD">
        <w:rPr>
          <w:rFonts w:ascii="Arial" w:hAnsi="Arial" w:cs="Arial"/>
          <w:color w:val="000000"/>
          <w:sz w:val="20"/>
          <w:szCs w:val="20"/>
        </w:rPr>
        <w:t>t</w:t>
      </w:r>
      <w:r>
        <w:rPr>
          <w:rFonts w:ascii="Arial" w:hAnsi="Arial" w:cs="Arial"/>
          <w:color w:val="000000"/>
          <w:sz w:val="20"/>
          <w:szCs w:val="20"/>
        </w:rPr>
        <w:t>adol</w:t>
      </w:r>
      <w:proofErr w:type="spellEnd"/>
      <w:r>
        <w:rPr>
          <w:rFonts w:ascii="Arial" w:hAnsi="Arial" w:cs="Arial"/>
          <w:color w:val="000000"/>
          <w:sz w:val="20"/>
          <w:szCs w:val="20"/>
        </w:rPr>
        <w:t xml:space="preserve"> is a novel analgesic,</w:t>
      </w:r>
      <w:r w:rsidR="00C2594C">
        <w:rPr>
          <w:rFonts w:ascii="Arial" w:hAnsi="Arial" w:cs="Arial"/>
          <w:color w:val="000000"/>
          <w:sz w:val="20"/>
          <w:szCs w:val="20"/>
        </w:rPr>
        <w:t xml:space="preserve"> with </w:t>
      </w:r>
      <w:r w:rsidR="008D3B37">
        <w:rPr>
          <w:rFonts w:ascii="Arial" w:hAnsi="Arial" w:cs="Arial"/>
          <w:color w:val="000000"/>
          <w:sz w:val="20"/>
          <w:szCs w:val="20"/>
        </w:rPr>
        <w:t xml:space="preserve">a </w:t>
      </w:r>
      <w:r w:rsidR="00C2594C">
        <w:rPr>
          <w:rFonts w:ascii="Arial" w:hAnsi="Arial" w:cs="Arial"/>
          <w:color w:val="000000"/>
          <w:sz w:val="20"/>
          <w:szCs w:val="20"/>
        </w:rPr>
        <w:t>50 mg dose similar in efficacy to 10 mg of oxycodone</w:t>
      </w:r>
      <w:r w:rsidR="00825FFC">
        <w:rPr>
          <w:rFonts w:ascii="Arial" w:hAnsi="Arial" w:cs="Arial"/>
          <w:color w:val="000000"/>
          <w:sz w:val="20"/>
          <w:szCs w:val="20"/>
        </w:rPr>
        <w:t>.</w:t>
      </w:r>
      <w:r w:rsidR="008D3B37">
        <w:rPr>
          <w:rFonts w:ascii="Arial" w:hAnsi="Arial" w:cs="Arial"/>
          <w:color w:val="000000"/>
          <w:sz w:val="20"/>
          <w:szCs w:val="20"/>
        </w:rPr>
        <w:t xml:space="preserve"> </w:t>
      </w:r>
      <w:r>
        <w:rPr>
          <w:rFonts w:ascii="Arial" w:hAnsi="Arial" w:cs="Arial"/>
          <w:color w:val="000000"/>
          <w:sz w:val="20"/>
          <w:szCs w:val="20"/>
        </w:rPr>
        <w:t>Currently its only clearly defined benefit over established opioids is its gentler GI side effect profile</w:t>
      </w:r>
      <w:r w:rsidR="008D3B37">
        <w:rPr>
          <w:rFonts w:ascii="Arial" w:hAnsi="Arial" w:cs="Arial"/>
          <w:color w:val="000000"/>
          <w:sz w:val="20"/>
          <w:szCs w:val="20"/>
        </w:rPr>
        <w:t>.  I</w:t>
      </w:r>
      <w:r>
        <w:rPr>
          <w:rFonts w:ascii="Arial" w:hAnsi="Arial" w:cs="Arial"/>
          <w:color w:val="000000"/>
          <w:sz w:val="20"/>
          <w:szCs w:val="20"/>
        </w:rPr>
        <w:t xml:space="preserve">ts cost, </w:t>
      </w:r>
      <w:r w:rsidR="00720E9C">
        <w:rPr>
          <w:rFonts w:ascii="Arial" w:hAnsi="Arial" w:cs="Arial"/>
          <w:color w:val="000000"/>
          <w:sz w:val="20"/>
          <w:szCs w:val="20"/>
        </w:rPr>
        <w:t xml:space="preserve">potential </w:t>
      </w:r>
      <w:r>
        <w:rPr>
          <w:rFonts w:ascii="Arial" w:hAnsi="Arial" w:cs="Arial"/>
          <w:color w:val="000000"/>
          <w:sz w:val="20"/>
          <w:szCs w:val="20"/>
        </w:rPr>
        <w:t xml:space="preserve">ceiling effect, safety concerns </w:t>
      </w:r>
      <w:r w:rsidR="00720E9C">
        <w:rPr>
          <w:rFonts w:ascii="Arial" w:hAnsi="Arial" w:cs="Arial"/>
          <w:color w:val="000000"/>
          <w:sz w:val="20"/>
          <w:szCs w:val="20"/>
        </w:rPr>
        <w:t>with drug interactions</w:t>
      </w:r>
      <w:r>
        <w:rPr>
          <w:rFonts w:ascii="Arial" w:hAnsi="Arial" w:cs="Arial"/>
          <w:color w:val="000000"/>
          <w:sz w:val="20"/>
          <w:szCs w:val="20"/>
        </w:rPr>
        <w:t xml:space="preserve">, and uncertainty about long-term efficacy and safety limit its </w:t>
      </w:r>
      <w:r w:rsidR="0023647F">
        <w:rPr>
          <w:rFonts w:ascii="Arial" w:hAnsi="Arial" w:cs="Arial"/>
          <w:color w:val="000000"/>
          <w:sz w:val="20"/>
          <w:szCs w:val="20"/>
        </w:rPr>
        <w:t>current application</w:t>
      </w:r>
      <w:r w:rsidR="00857E21">
        <w:rPr>
          <w:rFonts w:ascii="Arial" w:hAnsi="Arial" w:cs="Arial"/>
          <w:color w:val="000000"/>
          <w:sz w:val="20"/>
          <w:szCs w:val="20"/>
        </w:rPr>
        <w:t>.</w:t>
      </w:r>
      <w:r>
        <w:rPr>
          <w:rFonts w:ascii="Arial" w:hAnsi="Arial" w:cs="Arial"/>
          <w:color w:val="000000"/>
          <w:sz w:val="20"/>
          <w:szCs w:val="20"/>
        </w:rPr>
        <w:t xml:space="preserve"> </w:t>
      </w:r>
    </w:p>
    <w:p w:rsidR="009D7F3C" w:rsidRPr="001A3B61" w:rsidRDefault="009D7F3C" w:rsidP="00857E21">
      <w:pPr>
        <w:spacing w:after="0" w:line="240" w:lineRule="auto"/>
        <w:rPr>
          <w:rFonts w:ascii="Arial" w:hAnsi="Arial" w:cs="Arial"/>
          <w:b/>
          <w:color w:val="000000"/>
          <w:sz w:val="20"/>
          <w:szCs w:val="20"/>
        </w:rPr>
      </w:pPr>
    </w:p>
    <w:p w:rsidR="009D7F3C" w:rsidRPr="009818AA" w:rsidRDefault="009D7F3C" w:rsidP="00857E21">
      <w:pPr>
        <w:spacing w:after="0" w:line="240" w:lineRule="auto"/>
        <w:rPr>
          <w:rFonts w:ascii="Arial" w:hAnsi="Arial" w:cs="Arial"/>
          <w:color w:val="000000"/>
          <w:sz w:val="20"/>
          <w:szCs w:val="20"/>
        </w:rPr>
      </w:pPr>
      <w:r w:rsidRPr="009818AA">
        <w:rPr>
          <w:rFonts w:ascii="Arial" w:hAnsi="Arial" w:cs="Arial"/>
          <w:b/>
          <w:color w:val="000000"/>
          <w:sz w:val="20"/>
          <w:szCs w:val="20"/>
        </w:rPr>
        <w:t>References</w:t>
      </w:r>
    </w:p>
    <w:p w:rsidR="009D7F3C" w:rsidRPr="009818AA" w:rsidRDefault="009D7F3C" w:rsidP="00857E21">
      <w:pPr>
        <w:pStyle w:val="LightGrid-Accent31"/>
        <w:numPr>
          <w:ilvl w:val="0"/>
          <w:numId w:val="1"/>
        </w:numPr>
        <w:spacing w:after="0" w:line="240" w:lineRule="auto"/>
        <w:rPr>
          <w:rFonts w:ascii="Arial" w:hAnsi="Arial" w:cs="Arial"/>
          <w:color w:val="000000"/>
          <w:sz w:val="20"/>
          <w:szCs w:val="20"/>
        </w:rPr>
      </w:pPr>
      <w:proofErr w:type="spellStart"/>
      <w:r w:rsidRPr="009818AA">
        <w:rPr>
          <w:rFonts w:ascii="Arial" w:hAnsi="Arial" w:cs="Arial"/>
          <w:color w:val="000000"/>
          <w:sz w:val="20"/>
          <w:szCs w:val="20"/>
        </w:rPr>
        <w:lastRenderedPageBreak/>
        <w:t>Kneip</w:t>
      </w:r>
      <w:proofErr w:type="spellEnd"/>
      <w:r w:rsidRPr="009818AA">
        <w:rPr>
          <w:rFonts w:ascii="Arial" w:hAnsi="Arial" w:cs="Arial"/>
          <w:color w:val="000000"/>
          <w:sz w:val="20"/>
          <w:szCs w:val="20"/>
        </w:rPr>
        <w:t xml:space="preserve"> C, </w:t>
      </w:r>
      <w:proofErr w:type="spellStart"/>
      <w:r w:rsidRPr="009818AA">
        <w:rPr>
          <w:rFonts w:ascii="Arial" w:hAnsi="Arial" w:cs="Arial"/>
          <w:color w:val="000000"/>
          <w:sz w:val="20"/>
          <w:szCs w:val="20"/>
        </w:rPr>
        <w:t>Terlinden</w:t>
      </w:r>
      <w:proofErr w:type="spellEnd"/>
      <w:r w:rsidRPr="009818AA">
        <w:rPr>
          <w:rFonts w:ascii="Arial" w:hAnsi="Arial" w:cs="Arial"/>
          <w:color w:val="000000"/>
          <w:sz w:val="20"/>
          <w:szCs w:val="20"/>
        </w:rPr>
        <w:t xml:space="preserve"> R, </w:t>
      </w:r>
      <w:proofErr w:type="spellStart"/>
      <w:r w:rsidRPr="009818AA">
        <w:rPr>
          <w:rFonts w:ascii="Arial" w:hAnsi="Arial" w:cs="Arial"/>
          <w:color w:val="000000"/>
          <w:sz w:val="20"/>
          <w:szCs w:val="20"/>
        </w:rPr>
        <w:t>Beier</w:t>
      </w:r>
      <w:proofErr w:type="spellEnd"/>
      <w:r w:rsidRPr="009818AA">
        <w:rPr>
          <w:rFonts w:ascii="Arial" w:hAnsi="Arial" w:cs="Arial"/>
          <w:color w:val="000000"/>
          <w:sz w:val="20"/>
          <w:szCs w:val="20"/>
        </w:rPr>
        <w:t xml:space="preserve"> H, Chen G. Investigations into the drug-drug interaction potential of </w:t>
      </w:r>
      <w:proofErr w:type="spellStart"/>
      <w:r w:rsidRPr="009818AA">
        <w:rPr>
          <w:rFonts w:ascii="Arial" w:hAnsi="Arial" w:cs="Arial"/>
          <w:color w:val="000000"/>
          <w:sz w:val="20"/>
          <w:szCs w:val="20"/>
        </w:rPr>
        <w:t>tapentadol</w:t>
      </w:r>
      <w:proofErr w:type="spellEnd"/>
      <w:r w:rsidRPr="009818AA">
        <w:rPr>
          <w:rFonts w:ascii="Arial" w:hAnsi="Arial" w:cs="Arial"/>
          <w:color w:val="000000"/>
          <w:sz w:val="20"/>
          <w:szCs w:val="20"/>
        </w:rPr>
        <w:t xml:space="preserve"> in human liver </w:t>
      </w:r>
      <w:proofErr w:type="spellStart"/>
      <w:r w:rsidRPr="009818AA">
        <w:rPr>
          <w:rFonts w:ascii="Arial" w:hAnsi="Arial" w:cs="Arial"/>
          <w:color w:val="000000"/>
          <w:sz w:val="20"/>
          <w:szCs w:val="20"/>
        </w:rPr>
        <w:t>microsomes</w:t>
      </w:r>
      <w:proofErr w:type="spellEnd"/>
      <w:r w:rsidRPr="009818AA">
        <w:rPr>
          <w:rFonts w:ascii="Arial" w:hAnsi="Arial" w:cs="Arial"/>
          <w:color w:val="000000"/>
          <w:sz w:val="20"/>
          <w:szCs w:val="20"/>
        </w:rPr>
        <w:t xml:space="preserve"> and fresh human hepatocytes. </w:t>
      </w:r>
      <w:r w:rsidRPr="00C059A7">
        <w:rPr>
          <w:rFonts w:ascii="Arial" w:hAnsi="Arial" w:cs="Arial"/>
          <w:i/>
          <w:color w:val="000000"/>
          <w:sz w:val="20"/>
          <w:szCs w:val="20"/>
        </w:rPr>
        <w:t xml:space="preserve">Drug </w:t>
      </w:r>
      <w:proofErr w:type="spellStart"/>
      <w:r w:rsidRPr="00C059A7">
        <w:rPr>
          <w:rFonts w:ascii="Arial" w:hAnsi="Arial" w:cs="Arial"/>
          <w:i/>
          <w:color w:val="000000"/>
          <w:sz w:val="20"/>
          <w:szCs w:val="20"/>
        </w:rPr>
        <w:t>Metab</w:t>
      </w:r>
      <w:proofErr w:type="spellEnd"/>
      <w:r w:rsidRPr="00C059A7">
        <w:rPr>
          <w:rFonts w:ascii="Arial" w:hAnsi="Arial" w:cs="Arial"/>
          <w:i/>
          <w:color w:val="000000"/>
          <w:sz w:val="20"/>
          <w:szCs w:val="20"/>
        </w:rPr>
        <w:t xml:space="preserve"> </w:t>
      </w:r>
      <w:proofErr w:type="spellStart"/>
      <w:r w:rsidRPr="00C059A7">
        <w:rPr>
          <w:rFonts w:ascii="Arial" w:hAnsi="Arial" w:cs="Arial"/>
          <w:i/>
          <w:color w:val="000000"/>
          <w:sz w:val="20"/>
          <w:szCs w:val="20"/>
        </w:rPr>
        <w:t>Lett</w:t>
      </w:r>
      <w:proofErr w:type="spellEnd"/>
      <w:r w:rsidRPr="00C059A7">
        <w:rPr>
          <w:rFonts w:ascii="Arial" w:hAnsi="Arial" w:cs="Arial"/>
          <w:i/>
          <w:color w:val="000000"/>
          <w:sz w:val="20"/>
          <w:szCs w:val="20"/>
        </w:rPr>
        <w:t>.</w:t>
      </w:r>
      <w:r w:rsidRPr="009818AA">
        <w:rPr>
          <w:rFonts w:ascii="Arial" w:hAnsi="Arial" w:cs="Arial"/>
          <w:color w:val="000000"/>
          <w:sz w:val="20"/>
          <w:szCs w:val="20"/>
        </w:rPr>
        <w:t xml:space="preserve"> 2008;</w:t>
      </w:r>
      <w:r w:rsidR="00C059A7">
        <w:rPr>
          <w:rFonts w:ascii="Arial" w:hAnsi="Arial" w:cs="Arial"/>
          <w:color w:val="000000"/>
          <w:sz w:val="20"/>
          <w:szCs w:val="20"/>
        </w:rPr>
        <w:t xml:space="preserve"> </w:t>
      </w:r>
      <w:r w:rsidRPr="009818AA">
        <w:rPr>
          <w:rFonts w:ascii="Arial" w:hAnsi="Arial" w:cs="Arial"/>
          <w:color w:val="000000"/>
          <w:sz w:val="20"/>
          <w:szCs w:val="20"/>
        </w:rPr>
        <w:t>2(1):67-75. PMID: 19356073</w:t>
      </w:r>
      <w:r w:rsidR="00C059A7">
        <w:rPr>
          <w:rFonts w:ascii="Arial" w:hAnsi="Arial" w:cs="Arial"/>
          <w:color w:val="000000"/>
          <w:sz w:val="20"/>
          <w:szCs w:val="20"/>
        </w:rPr>
        <w:t>.</w:t>
      </w:r>
    </w:p>
    <w:p w:rsidR="009D7F3C" w:rsidRPr="009818AA" w:rsidRDefault="009D7F3C" w:rsidP="00857E21">
      <w:pPr>
        <w:pStyle w:val="LightGrid-Accent31"/>
        <w:numPr>
          <w:ilvl w:val="0"/>
          <w:numId w:val="1"/>
        </w:numPr>
        <w:spacing w:after="0" w:line="240" w:lineRule="auto"/>
        <w:rPr>
          <w:rFonts w:ascii="Arial" w:hAnsi="Arial" w:cs="Arial"/>
          <w:color w:val="000000"/>
          <w:sz w:val="20"/>
          <w:szCs w:val="20"/>
        </w:rPr>
      </w:pPr>
      <w:r w:rsidRPr="009818AA">
        <w:rPr>
          <w:rFonts w:ascii="Arial" w:hAnsi="Arial" w:cs="Arial"/>
          <w:color w:val="000000"/>
          <w:sz w:val="20"/>
          <w:szCs w:val="20"/>
        </w:rPr>
        <w:t xml:space="preserve">Hale M, </w:t>
      </w:r>
      <w:proofErr w:type="spellStart"/>
      <w:r w:rsidRPr="009818AA">
        <w:rPr>
          <w:rFonts w:ascii="Arial" w:hAnsi="Arial" w:cs="Arial"/>
          <w:color w:val="000000"/>
          <w:sz w:val="20"/>
          <w:szCs w:val="20"/>
        </w:rPr>
        <w:t>Upmalis</w:t>
      </w:r>
      <w:proofErr w:type="spellEnd"/>
      <w:r w:rsidRPr="009818AA">
        <w:rPr>
          <w:rFonts w:ascii="Arial" w:hAnsi="Arial" w:cs="Arial"/>
          <w:color w:val="000000"/>
          <w:sz w:val="20"/>
          <w:szCs w:val="20"/>
        </w:rPr>
        <w:t xml:space="preserve"> D, Okamoto A, Lange C, </w:t>
      </w:r>
      <w:proofErr w:type="spellStart"/>
      <w:r w:rsidRPr="009818AA">
        <w:rPr>
          <w:rFonts w:ascii="Arial" w:hAnsi="Arial" w:cs="Arial"/>
          <w:color w:val="000000"/>
          <w:sz w:val="20"/>
          <w:szCs w:val="20"/>
        </w:rPr>
        <w:t>Rauschkolb</w:t>
      </w:r>
      <w:proofErr w:type="spellEnd"/>
      <w:r w:rsidRPr="009818AA">
        <w:rPr>
          <w:rFonts w:ascii="Arial" w:hAnsi="Arial" w:cs="Arial"/>
          <w:color w:val="000000"/>
          <w:sz w:val="20"/>
          <w:szCs w:val="20"/>
        </w:rPr>
        <w:t xml:space="preserve"> C. Tolerability of </w:t>
      </w:r>
      <w:proofErr w:type="spellStart"/>
      <w:r w:rsidRPr="009818AA">
        <w:rPr>
          <w:rFonts w:ascii="Arial" w:hAnsi="Arial" w:cs="Arial"/>
          <w:color w:val="000000"/>
          <w:sz w:val="20"/>
          <w:szCs w:val="20"/>
        </w:rPr>
        <w:t>tapentadol</w:t>
      </w:r>
      <w:proofErr w:type="spellEnd"/>
      <w:r w:rsidRPr="009818AA">
        <w:rPr>
          <w:rFonts w:ascii="Arial" w:hAnsi="Arial" w:cs="Arial"/>
          <w:color w:val="000000"/>
          <w:sz w:val="20"/>
          <w:szCs w:val="20"/>
        </w:rPr>
        <w:t xml:space="preserve"> immediate release in patients with lower back pain or osteoarthritis of the hip or knee over 90 days: a randomized, double-blind study. </w:t>
      </w:r>
      <w:proofErr w:type="spellStart"/>
      <w:r w:rsidRPr="00C059A7">
        <w:rPr>
          <w:rFonts w:ascii="Arial" w:hAnsi="Arial" w:cs="Arial"/>
          <w:i/>
          <w:color w:val="000000"/>
          <w:sz w:val="20"/>
          <w:szCs w:val="20"/>
        </w:rPr>
        <w:t>Curr</w:t>
      </w:r>
      <w:proofErr w:type="spellEnd"/>
      <w:r w:rsidRPr="00C059A7">
        <w:rPr>
          <w:rFonts w:ascii="Arial" w:hAnsi="Arial" w:cs="Arial"/>
          <w:i/>
          <w:color w:val="000000"/>
          <w:sz w:val="20"/>
          <w:szCs w:val="20"/>
        </w:rPr>
        <w:t xml:space="preserve"> Med Res </w:t>
      </w:r>
      <w:proofErr w:type="spellStart"/>
      <w:r w:rsidRPr="00C059A7">
        <w:rPr>
          <w:rFonts w:ascii="Arial" w:hAnsi="Arial" w:cs="Arial"/>
          <w:i/>
          <w:color w:val="000000"/>
          <w:sz w:val="20"/>
          <w:szCs w:val="20"/>
        </w:rPr>
        <w:t>Opin</w:t>
      </w:r>
      <w:proofErr w:type="spellEnd"/>
      <w:r w:rsidRPr="009818AA">
        <w:rPr>
          <w:rFonts w:ascii="Arial" w:hAnsi="Arial" w:cs="Arial"/>
          <w:color w:val="000000"/>
          <w:sz w:val="20"/>
          <w:szCs w:val="20"/>
        </w:rPr>
        <w:t>. 2009;</w:t>
      </w:r>
      <w:r w:rsidR="00C059A7">
        <w:rPr>
          <w:rFonts w:ascii="Arial" w:hAnsi="Arial" w:cs="Arial"/>
          <w:color w:val="000000"/>
          <w:sz w:val="20"/>
          <w:szCs w:val="20"/>
        </w:rPr>
        <w:t xml:space="preserve"> </w:t>
      </w:r>
      <w:r w:rsidRPr="009818AA">
        <w:rPr>
          <w:rFonts w:ascii="Arial" w:hAnsi="Arial" w:cs="Arial"/>
          <w:color w:val="000000"/>
          <w:sz w:val="20"/>
          <w:szCs w:val="20"/>
        </w:rPr>
        <w:t>25(5):1095-104. PMID: 19301989</w:t>
      </w:r>
      <w:r w:rsidR="00C059A7">
        <w:rPr>
          <w:rFonts w:ascii="Arial" w:hAnsi="Arial" w:cs="Arial"/>
          <w:color w:val="000000"/>
          <w:sz w:val="20"/>
          <w:szCs w:val="20"/>
        </w:rPr>
        <w:t>.</w:t>
      </w:r>
    </w:p>
    <w:p w:rsidR="009D7F3C" w:rsidRPr="009818AA" w:rsidRDefault="009D7F3C" w:rsidP="00857E21">
      <w:pPr>
        <w:pStyle w:val="LightGrid-Accent31"/>
        <w:numPr>
          <w:ilvl w:val="0"/>
          <w:numId w:val="1"/>
        </w:numPr>
        <w:spacing w:line="240" w:lineRule="auto"/>
        <w:rPr>
          <w:rFonts w:ascii="Arial" w:hAnsi="Arial" w:cs="Arial"/>
          <w:color w:val="000000"/>
          <w:sz w:val="20"/>
          <w:szCs w:val="20"/>
        </w:rPr>
      </w:pPr>
      <w:r w:rsidRPr="009818AA">
        <w:rPr>
          <w:rFonts w:ascii="Arial" w:hAnsi="Arial" w:cs="Arial"/>
          <w:color w:val="000000"/>
          <w:sz w:val="20"/>
          <w:szCs w:val="20"/>
        </w:rPr>
        <w:t xml:space="preserve">Daniels S, </w:t>
      </w:r>
      <w:proofErr w:type="spellStart"/>
      <w:r w:rsidRPr="009818AA">
        <w:rPr>
          <w:rFonts w:ascii="Arial" w:hAnsi="Arial" w:cs="Arial"/>
          <w:color w:val="000000"/>
          <w:sz w:val="20"/>
          <w:szCs w:val="20"/>
        </w:rPr>
        <w:t>Casson</w:t>
      </w:r>
      <w:proofErr w:type="spellEnd"/>
      <w:r w:rsidRPr="009818AA">
        <w:rPr>
          <w:rFonts w:ascii="Arial" w:hAnsi="Arial" w:cs="Arial"/>
          <w:color w:val="000000"/>
          <w:sz w:val="20"/>
          <w:szCs w:val="20"/>
        </w:rPr>
        <w:t xml:space="preserve"> E, </w:t>
      </w:r>
      <w:proofErr w:type="spellStart"/>
      <w:r w:rsidRPr="009818AA">
        <w:rPr>
          <w:rFonts w:ascii="Arial" w:hAnsi="Arial" w:cs="Arial"/>
          <w:color w:val="000000"/>
          <w:sz w:val="20"/>
          <w:szCs w:val="20"/>
        </w:rPr>
        <w:t>Stegmann</w:t>
      </w:r>
      <w:proofErr w:type="spellEnd"/>
      <w:r w:rsidRPr="009818AA">
        <w:rPr>
          <w:rFonts w:ascii="Arial" w:hAnsi="Arial" w:cs="Arial"/>
          <w:color w:val="000000"/>
          <w:sz w:val="20"/>
          <w:szCs w:val="20"/>
        </w:rPr>
        <w:t xml:space="preserve"> JU, Oh C, Okamoto A, </w:t>
      </w:r>
      <w:proofErr w:type="spellStart"/>
      <w:r w:rsidRPr="009818AA">
        <w:rPr>
          <w:rFonts w:ascii="Arial" w:hAnsi="Arial" w:cs="Arial"/>
          <w:color w:val="000000"/>
          <w:sz w:val="20"/>
          <w:szCs w:val="20"/>
        </w:rPr>
        <w:t>Rauschkolb</w:t>
      </w:r>
      <w:proofErr w:type="spellEnd"/>
      <w:r w:rsidRPr="009818AA">
        <w:rPr>
          <w:rFonts w:ascii="Arial" w:hAnsi="Arial" w:cs="Arial"/>
          <w:color w:val="000000"/>
          <w:sz w:val="20"/>
          <w:szCs w:val="20"/>
        </w:rPr>
        <w:t xml:space="preserve"> C, </w:t>
      </w:r>
      <w:proofErr w:type="spellStart"/>
      <w:r w:rsidRPr="009818AA">
        <w:rPr>
          <w:rFonts w:ascii="Arial" w:hAnsi="Arial" w:cs="Arial"/>
          <w:color w:val="000000"/>
          <w:sz w:val="20"/>
          <w:szCs w:val="20"/>
        </w:rPr>
        <w:t>Upmalis</w:t>
      </w:r>
      <w:proofErr w:type="spellEnd"/>
      <w:r w:rsidRPr="009818AA">
        <w:rPr>
          <w:rFonts w:ascii="Arial" w:hAnsi="Arial" w:cs="Arial"/>
          <w:color w:val="000000"/>
          <w:sz w:val="20"/>
          <w:szCs w:val="20"/>
        </w:rPr>
        <w:t xml:space="preserve"> D. A randomized, double-blind, placebo-controlled phase 3 study of the relative efficacy and tolerability of </w:t>
      </w:r>
      <w:proofErr w:type="spellStart"/>
      <w:r w:rsidRPr="009818AA">
        <w:rPr>
          <w:rFonts w:ascii="Arial" w:hAnsi="Arial" w:cs="Arial"/>
          <w:color w:val="000000"/>
          <w:sz w:val="20"/>
          <w:szCs w:val="20"/>
        </w:rPr>
        <w:t>tapentadol</w:t>
      </w:r>
      <w:proofErr w:type="spellEnd"/>
      <w:r w:rsidRPr="009818AA">
        <w:rPr>
          <w:rFonts w:ascii="Arial" w:hAnsi="Arial" w:cs="Arial"/>
          <w:color w:val="000000"/>
          <w:sz w:val="20"/>
          <w:szCs w:val="20"/>
        </w:rPr>
        <w:t xml:space="preserve"> IR and oxycodone IR for acute pain. </w:t>
      </w:r>
      <w:proofErr w:type="spellStart"/>
      <w:r w:rsidRPr="00C059A7">
        <w:rPr>
          <w:rFonts w:ascii="Arial" w:hAnsi="Arial" w:cs="Arial"/>
          <w:i/>
          <w:color w:val="000000"/>
          <w:sz w:val="20"/>
          <w:szCs w:val="20"/>
        </w:rPr>
        <w:t>Curr</w:t>
      </w:r>
      <w:proofErr w:type="spellEnd"/>
      <w:r w:rsidRPr="00C059A7">
        <w:rPr>
          <w:rFonts w:ascii="Arial" w:hAnsi="Arial" w:cs="Arial"/>
          <w:i/>
          <w:color w:val="000000"/>
          <w:sz w:val="20"/>
          <w:szCs w:val="20"/>
        </w:rPr>
        <w:t xml:space="preserve"> Med Res </w:t>
      </w:r>
      <w:proofErr w:type="spellStart"/>
      <w:r w:rsidRPr="00C059A7">
        <w:rPr>
          <w:rFonts w:ascii="Arial" w:hAnsi="Arial" w:cs="Arial"/>
          <w:i/>
          <w:color w:val="000000"/>
          <w:sz w:val="20"/>
          <w:szCs w:val="20"/>
        </w:rPr>
        <w:t>Opin</w:t>
      </w:r>
      <w:proofErr w:type="spellEnd"/>
      <w:r w:rsidRPr="009818AA">
        <w:rPr>
          <w:rFonts w:ascii="Arial" w:hAnsi="Arial" w:cs="Arial"/>
          <w:color w:val="000000"/>
          <w:sz w:val="20"/>
          <w:szCs w:val="20"/>
        </w:rPr>
        <w:t>. 2009;</w:t>
      </w:r>
      <w:r w:rsidR="00C059A7">
        <w:rPr>
          <w:rFonts w:ascii="Arial" w:hAnsi="Arial" w:cs="Arial"/>
          <w:color w:val="000000"/>
          <w:sz w:val="20"/>
          <w:szCs w:val="20"/>
        </w:rPr>
        <w:t xml:space="preserve"> </w:t>
      </w:r>
      <w:r w:rsidRPr="009818AA">
        <w:rPr>
          <w:rFonts w:ascii="Arial" w:hAnsi="Arial" w:cs="Arial"/>
          <w:color w:val="000000"/>
          <w:sz w:val="20"/>
          <w:szCs w:val="20"/>
        </w:rPr>
        <w:t>25(6):1551-61. PMID: 19445652</w:t>
      </w:r>
      <w:r w:rsidR="00C059A7">
        <w:rPr>
          <w:rFonts w:ascii="Arial" w:hAnsi="Arial" w:cs="Arial"/>
          <w:color w:val="000000"/>
          <w:sz w:val="20"/>
          <w:szCs w:val="20"/>
        </w:rPr>
        <w:t>.</w:t>
      </w:r>
    </w:p>
    <w:p w:rsidR="009D7F3C" w:rsidRDefault="009D7F3C" w:rsidP="00857E21">
      <w:pPr>
        <w:pStyle w:val="LightGrid-Accent31"/>
        <w:numPr>
          <w:ilvl w:val="0"/>
          <w:numId w:val="1"/>
        </w:numPr>
        <w:spacing w:line="240" w:lineRule="auto"/>
        <w:rPr>
          <w:rFonts w:ascii="Arial" w:hAnsi="Arial" w:cs="Arial"/>
          <w:color w:val="000000"/>
          <w:sz w:val="20"/>
          <w:szCs w:val="20"/>
        </w:rPr>
      </w:pPr>
      <w:r w:rsidRPr="009818AA">
        <w:rPr>
          <w:rFonts w:ascii="Arial" w:hAnsi="Arial" w:cs="Arial"/>
          <w:color w:val="000000"/>
          <w:sz w:val="20"/>
          <w:szCs w:val="20"/>
        </w:rPr>
        <w:t xml:space="preserve">Kleinert R, Lange C, </w:t>
      </w:r>
      <w:proofErr w:type="spellStart"/>
      <w:r w:rsidRPr="009818AA">
        <w:rPr>
          <w:rFonts w:ascii="Arial" w:hAnsi="Arial" w:cs="Arial"/>
          <w:color w:val="000000"/>
          <w:sz w:val="20"/>
          <w:szCs w:val="20"/>
        </w:rPr>
        <w:t>Steup</w:t>
      </w:r>
      <w:proofErr w:type="spellEnd"/>
      <w:r w:rsidRPr="009818AA">
        <w:rPr>
          <w:rFonts w:ascii="Arial" w:hAnsi="Arial" w:cs="Arial"/>
          <w:color w:val="000000"/>
          <w:sz w:val="20"/>
          <w:szCs w:val="20"/>
        </w:rPr>
        <w:t xml:space="preserve"> A, Black P, Goldberg J, Desjardins P. Single dose analgesic efficacy of </w:t>
      </w:r>
      <w:proofErr w:type="spellStart"/>
      <w:r w:rsidRPr="009818AA">
        <w:rPr>
          <w:rFonts w:ascii="Arial" w:hAnsi="Arial" w:cs="Arial"/>
          <w:color w:val="000000"/>
          <w:sz w:val="20"/>
          <w:szCs w:val="20"/>
        </w:rPr>
        <w:t>tapentadol</w:t>
      </w:r>
      <w:proofErr w:type="spellEnd"/>
      <w:r w:rsidRPr="009818AA">
        <w:rPr>
          <w:rFonts w:ascii="Arial" w:hAnsi="Arial" w:cs="Arial"/>
          <w:color w:val="000000"/>
          <w:sz w:val="20"/>
          <w:szCs w:val="20"/>
        </w:rPr>
        <w:t xml:space="preserve"> in postsurgical dental pain: the results of a randomized, double-blind, placebo-controlled study. </w:t>
      </w:r>
      <w:proofErr w:type="spellStart"/>
      <w:r w:rsidRPr="00C059A7">
        <w:rPr>
          <w:rFonts w:ascii="Arial" w:hAnsi="Arial" w:cs="Arial"/>
          <w:i/>
          <w:color w:val="000000"/>
          <w:sz w:val="20"/>
          <w:szCs w:val="20"/>
        </w:rPr>
        <w:t>Anesth</w:t>
      </w:r>
      <w:proofErr w:type="spellEnd"/>
      <w:r w:rsidRPr="00C059A7">
        <w:rPr>
          <w:rFonts w:ascii="Arial" w:hAnsi="Arial" w:cs="Arial"/>
          <w:i/>
          <w:color w:val="000000"/>
          <w:sz w:val="20"/>
          <w:szCs w:val="20"/>
        </w:rPr>
        <w:t xml:space="preserve"> </w:t>
      </w:r>
      <w:proofErr w:type="spellStart"/>
      <w:r w:rsidRPr="00C059A7">
        <w:rPr>
          <w:rFonts w:ascii="Arial" w:hAnsi="Arial" w:cs="Arial"/>
          <w:i/>
          <w:color w:val="000000"/>
          <w:sz w:val="20"/>
          <w:szCs w:val="20"/>
        </w:rPr>
        <w:t>Analg</w:t>
      </w:r>
      <w:proofErr w:type="spellEnd"/>
      <w:r w:rsidRPr="009818AA">
        <w:rPr>
          <w:rFonts w:ascii="Arial" w:hAnsi="Arial" w:cs="Arial"/>
          <w:color w:val="000000"/>
          <w:sz w:val="20"/>
          <w:szCs w:val="20"/>
        </w:rPr>
        <w:t>. 2008;</w:t>
      </w:r>
      <w:r w:rsidR="00C059A7">
        <w:rPr>
          <w:rFonts w:ascii="Arial" w:hAnsi="Arial" w:cs="Arial"/>
          <w:color w:val="000000"/>
          <w:sz w:val="20"/>
          <w:szCs w:val="20"/>
        </w:rPr>
        <w:t xml:space="preserve"> </w:t>
      </w:r>
      <w:r w:rsidRPr="009818AA">
        <w:rPr>
          <w:rFonts w:ascii="Arial" w:hAnsi="Arial" w:cs="Arial"/>
          <w:color w:val="000000"/>
          <w:sz w:val="20"/>
          <w:szCs w:val="20"/>
        </w:rPr>
        <w:t>107(6):2048-55. PMID: 19020157</w:t>
      </w:r>
      <w:r w:rsidR="00C059A7">
        <w:rPr>
          <w:rFonts w:ascii="Arial" w:hAnsi="Arial" w:cs="Arial"/>
          <w:color w:val="000000"/>
          <w:sz w:val="20"/>
          <w:szCs w:val="20"/>
        </w:rPr>
        <w:t>.</w:t>
      </w:r>
    </w:p>
    <w:p w:rsidR="00E93168" w:rsidRDefault="00E93168" w:rsidP="00857E21">
      <w:pPr>
        <w:pStyle w:val="LightGrid-Accent31"/>
        <w:numPr>
          <w:ilvl w:val="0"/>
          <w:numId w:val="1"/>
        </w:numPr>
        <w:spacing w:line="240" w:lineRule="auto"/>
        <w:rPr>
          <w:rFonts w:ascii="Arial" w:hAnsi="Arial" w:cs="Arial"/>
          <w:color w:val="000000"/>
          <w:sz w:val="20"/>
          <w:szCs w:val="20"/>
        </w:rPr>
      </w:pPr>
      <w:proofErr w:type="spellStart"/>
      <w:r>
        <w:rPr>
          <w:rFonts w:ascii="Arial" w:hAnsi="Arial" w:cs="Arial"/>
          <w:color w:val="000000"/>
          <w:sz w:val="20"/>
          <w:szCs w:val="20"/>
        </w:rPr>
        <w:t>Mercadante</w:t>
      </w:r>
      <w:proofErr w:type="spellEnd"/>
      <w:r>
        <w:rPr>
          <w:rFonts w:ascii="Arial" w:hAnsi="Arial" w:cs="Arial"/>
          <w:color w:val="000000"/>
          <w:sz w:val="20"/>
          <w:szCs w:val="20"/>
        </w:rPr>
        <w:t xml:space="preserve"> S, </w:t>
      </w:r>
      <w:proofErr w:type="spellStart"/>
      <w:r>
        <w:rPr>
          <w:rFonts w:ascii="Arial" w:hAnsi="Arial" w:cs="Arial"/>
          <w:color w:val="000000"/>
          <w:sz w:val="20"/>
          <w:szCs w:val="20"/>
        </w:rPr>
        <w:t>Porzio</w:t>
      </w:r>
      <w:proofErr w:type="spellEnd"/>
      <w:r>
        <w:rPr>
          <w:rFonts w:ascii="Arial" w:hAnsi="Arial" w:cs="Arial"/>
          <w:color w:val="000000"/>
          <w:sz w:val="20"/>
          <w:szCs w:val="20"/>
        </w:rPr>
        <w:t xml:space="preserve"> G, et al. </w:t>
      </w:r>
      <w:proofErr w:type="spellStart"/>
      <w:r>
        <w:rPr>
          <w:rFonts w:ascii="Arial" w:hAnsi="Arial" w:cs="Arial"/>
          <w:color w:val="000000"/>
          <w:sz w:val="20"/>
          <w:szCs w:val="20"/>
        </w:rPr>
        <w:t>Tapentadol</w:t>
      </w:r>
      <w:proofErr w:type="spellEnd"/>
      <w:r>
        <w:rPr>
          <w:rFonts w:ascii="Arial" w:hAnsi="Arial" w:cs="Arial"/>
          <w:color w:val="000000"/>
          <w:sz w:val="20"/>
          <w:szCs w:val="20"/>
        </w:rPr>
        <w:t xml:space="preserve"> in cancer pain management: a prospective open-label study. </w:t>
      </w:r>
      <w:proofErr w:type="spellStart"/>
      <w:r w:rsidRPr="00E93168">
        <w:rPr>
          <w:rFonts w:ascii="Arial" w:hAnsi="Arial" w:cs="Arial"/>
          <w:i/>
          <w:color w:val="000000"/>
          <w:sz w:val="20"/>
          <w:szCs w:val="20"/>
        </w:rPr>
        <w:t>Curr</w:t>
      </w:r>
      <w:proofErr w:type="spellEnd"/>
      <w:r w:rsidRPr="00E93168">
        <w:rPr>
          <w:rFonts w:ascii="Arial" w:hAnsi="Arial" w:cs="Arial"/>
          <w:i/>
          <w:color w:val="000000"/>
          <w:sz w:val="20"/>
          <w:szCs w:val="20"/>
        </w:rPr>
        <w:t xml:space="preserve"> Med Res &amp; Opinion</w:t>
      </w:r>
      <w:r>
        <w:rPr>
          <w:rFonts w:ascii="Arial" w:hAnsi="Arial" w:cs="Arial"/>
          <w:color w:val="000000"/>
          <w:sz w:val="20"/>
          <w:szCs w:val="20"/>
        </w:rPr>
        <w:t xml:space="preserve"> 2012; 28:1775-1779.</w:t>
      </w:r>
    </w:p>
    <w:p w:rsidR="00E93168" w:rsidRDefault="00E93168" w:rsidP="00857E21">
      <w:pPr>
        <w:pStyle w:val="LightGrid-Accent31"/>
        <w:numPr>
          <w:ilvl w:val="0"/>
          <w:numId w:val="1"/>
        </w:numPr>
        <w:spacing w:line="240" w:lineRule="auto"/>
        <w:rPr>
          <w:rFonts w:ascii="Arial" w:hAnsi="Arial" w:cs="Arial"/>
          <w:color w:val="000000"/>
          <w:sz w:val="20"/>
          <w:szCs w:val="20"/>
        </w:rPr>
      </w:pPr>
      <w:proofErr w:type="spellStart"/>
      <w:r>
        <w:rPr>
          <w:rFonts w:ascii="Arial" w:hAnsi="Arial" w:cs="Arial"/>
          <w:color w:val="000000"/>
          <w:sz w:val="20"/>
          <w:szCs w:val="20"/>
        </w:rPr>
        <w:t>Mercadante</w:t>
      </w:r>
      <w:proofErr w:type="spellEnd"/>
      <w:r>
        <w:rPr>
          <w:rFonts w:ascii="Arial" w:hAnsi="Arial" w:cs="Arial"/>
          <w:color w:val="000000"/>
          <w:sz w:val="20"/>
          <w:szCs w:val="20"/>
        </w:rPr>
        <w:t xml:space="preserve"> S, </w:t>
      </w:r>
      <w:proofErr w:type="spellStart"/>
      <w:r>
        <w:rPr>
          <w:rFonts w:ascii="Arial" w:hAnsi="Arial" w:cs="Arial"/>
          <w:color w:val="000000"/>
          <w:sz w:val="20"/>
          <w:szCs w:val="20"/>
        </w:rPr>
        <w:t>Porzio</w:t>
      </w:r>
      <w:proofErr w:type="spellEnd"/>
      <w:r>
        <w:rPr>
          <w:rFonts w:ascii="Arial" w:hAnsi="Arial" w:cs="Arial"/>
          <w:color w:val="000000"/>
          <w:sz w:val="20"/>
          <w:szCs w:val="20"/>
        </w:rPr>
        <w:t xml:space="preserve"> G, et al. </w:t>
      </w:r>
      <w:proofErr w:type="spellStart"/>
      <w:r>
        <w:rPr>
          <w:rFonts w:ascii="Arial" w:hAnsi="Arial" w:cs="Arial"/>
          <w:color w:val="000000"/>
          <w:sz w:val="20"/>
          <w:szCs w:val="20"/>
        </w:rPr>
        <w:t>Tapentadol</w:t>
      </w:r>
      <w:proofErr w:type="spellEnd"/>
      <w:r>
        <w:rPr>
          <w:rFonts w:ascii="Arial" w:hAnsi="Arial" w:cs="Arial"/>
          <w:color w:val="000000"/>
          <w:sz w:val="20"/>
          <w:szCs w:val="20"/>
        </w:rPr>
        <w:t xml:space="preserve"> at medium to high doses in patients previously receiving strong opioids for the management of cancer pain. </w:t>
      </w:r>
      <w:proofErr w:type="spellStart"/>
      <w:r w:rsidRPr="00E93168">
        <w:rPr>
          <w:rFonts w:ascii="Arial" w:hAnsi="Arial" w:cs="Arial"/>
          <w:i/>
          <w:color w:val="000000"/>
          <w:sz w:val="20"/>
          <w:szCs w:val="20"/>
        </w:rPr>
        <w:t>Curr</w:t>
      </w:r>
      <w:proofErr w:type="spellEnd"/>
      <w:r w:rsidRPr="00E93168">
        <w:rPr>
          <w:rFonts w:ascii="Arial" w:hAnsi="Arial" w:cs="Arial"/>
          <w:i/>
          <w:color w:val="000000"/>
          <w:sz w:val="20"/>
          <w:szCs w:val="20"/>
        </w:rPr>
        <w:t xml:space="preserve"> Med Res &amp; Opinion</w:t>
      </w:r>
      <w:r>
        <w:rPr>
          <w:rFonts w:ascii="Arial" w:hAnsi="Arial" w:cs="Arial"/>
          <w:color w:val="000000"/>
          <w:sz w:val="20"/>
          <w:szCs w:val="20"/>
        </w:rPr>
        <w:t xml:space="preserve"> 2014; 30:2063-2068.</w:t>
      </w:r>
    </w:p>
    <w:p w:rsidR="000178E9" w:rsidRDefault="000178E9" w:rsidP="00857E21">
      <w:pPr>
        <w:pStyle w:val="LightGrid-Accent31"/>
        <w:numPr>
          <w:ilvl w:val="0"/>
          <w:numId w:val="1"/>
        </w:numPr>
        <w:spacing w:line="240" w:lineRule="auto"/>
        <w:rPr>
          <w:rFonts w:ascii="Arial" w:hAnsi="Arial" w:cs="Arial"/>
          <w:color w:val="000000"/>
          <w:sz w:val="20"/>
          <w:szCs w:val="20"/>
        </w:rPr>
      </w:pPr>
      <w:proofErr w:type="spellStart"/>
      <w:r>
        <w:rPr>
          <w:rFonts w:ascii="Arial" w:hAnsi="Arial" w:cs="Arial"/>
          <w:color w:val="000000"/>
          <w:sz w:val="20"/>
          <w:szCs w:val="20"/>
        </w:rPr>
        <w:t>Etropolski</w:t>
      </w:r>
      <w:proofErr w:type="spellEnd"/>
      <w:r>
        <w:rPr>
          <w:rFonts w:ascii="Arial" w:hAnsi="Arial" w:cs="Arial"/>
          <w:color w:val="000000"/>
          <w:sz w:val="20"/>
          <w:szCs w:val="20"/>
        </w:rPr>
        <w:t xml:space="preserve"> M, </w:t>
      </w:r>
      <w:proofErr w:type="spellStart"/>
      <w:r>
        <w:rPr>
          <w:rFonts w:ascii="Arial" w:hAnsi="Arial" w:cs="Arial"/>
          <w:color w:val="000000"/>
          <w:sz w:val="20"/>
          <w:szCs w:val="20"/>
        </w:rPr>
        <w:t>Kuperwasser</w:t>
      </w:r>
      <w:proofErr w:type="spellEnd"/>
      <w:r>
        <w:rPr>
          <w:rFonts w:ascii="Arial" w:hAnsi="Arial" w:cs="Arial"/>
          <w:color w:val="000000"/>
          <w:sz w:val="20"/>
          <w:szCs w:val="20"/>
        </w:rPr>
        <w:t xml:space="preserve"> B, et al.  Safety and tolerability of </w:t>
      </w:r>
      <w:proofErr w:type="spellStart"/>
      <w:r>
        <w:rPr>
          <w:rFonts w:ascii="Arial" w:hAnsi="Arial" w:cs="Arial"/>
          <w:color w:val="000000"/>
          <w:sz w:val="20"/>
          <w:szCs w:val="20"/>
        </w:rPr>
        <w:t>tapentadol</w:t>
      </w:r>
      <w:proofErr w:type="spellEnd"/>
      <w:r>
        <w:rPr>
          <w:rFonts w:ascii="Arial" w:hAnsi="Arial" w:cs="Arial"/>
          <w:color w:val="000000"/>
          <w:sz w:val="20"/>
          <w:szCs w:val="20"/>
        </w:rPr>
        <w:t xml:space="preserve"> extended release in moderate to severe chronic osteoarthritis or low back pain management: pooled analysis of randomized controlled trials. </w:t>
      </w:r>
      <w:proofErr w:type="spellStart"/>
      <w:r w:rsidRPr="000178E9">
        <w:rPr>
          <w:rFonts w:ascii="Arial" w:hAnsi="Arial" w:cs="Arial"/>
          <w:i/>
          <w:color w:val="000000"/>
          <w:sz w:val="20"/>
          <w:szCs w:val="20"/>
        </w:rPr>
        <w:t>Adv</w:t>
      </w:r>
      <w:proofErr w:type="spellEnd"/>
      <w:r w:rsidRPr="000178E9">
        <w:rPr>
          <w:rFonts w:ascii="Arial" w:hAnsi="Arial" w:cs="Arial"/>
          <w:i/>
          <w:color w:val="000000"/>
          <w:sz w:val="20"/>
          <w:szCs w:val="20"/>
        </w:rPr>
        <w:t xml:space="preserve"> </w:t>
      </w:r>
      <w:proofErr w:type="spellStart"/>
      <w:r w:rsidRPr="000178E9">
        <w:rPr>
          <w:rFonts w:ascii="Arial" w:hAnsi="Arial" w:cs="Arial"/>
          <w:i/>
          <w:color w:val="000000"/>
          <w:sz w:val="20"/>
          <w:szCs w:val="20"/>
        </w:rPr>
        <w:t>Ther</w:t>
      </w:r>
      <w:proofErr w:type="spellEnd"/>
      <w:r>
        <w:rPr>
          <w:rFonts w:ascii="Arial" w:hAnsi="Arial" w:cs="Arial"/>
          <w:color w:val="000000"/>
          <w:sz w:val="20"/>
          <w:szCs w:val="20"/>
        </w:rPr>
        <w:t xml:space="preserve"> 2014; 31:604-620.</w:t>
      </w:r>
    </w:p>
    <w:p w:rsidR="00C059A7" w:rsidRDefault="00C059A7" w:rsidP="00857E21">
      <w:pPr>
        <w:pStyle w:val="LightGrid-Accent31"/>
        <w:spacing w:line="240" w:lineRule="auto"/>
        <w:rPr>
          <w:rFonts w:ascii="Arial" w:hAnsi="Arial" w:cs="Arial"/>
          <w:color w:val="000000"/>
          <w:sz w:val="20"/>
          <w:szCs w:val="20"/>
        </w:rPr>
      </w:pPr>
    </w:p>
    <w:p w:rsidR="003502F2" w:rsidRDefault="00C059A7" w:rsidP="00857E21">
      <w:pPr>
        <w:pStyle w:val="LightGrid-Accent31"/>
        <w:spacing w:after="0" w:line="240" w:lineRule="auto"/>
        <w:ind w:left="0"/>
        <w:rPr>
          <w:rFonts w:ascii="Arial" w:hAnsi="Arial" w:cs="Arial"/>
          <w:color w:val="000000"/>
          <w:sz w:val="20"/>
          <w:szCs w:val="20"/>
        </w:rPr>
      </w:pPr>
      <w:r>
        <w:rPr>
          <w:rFonts w:ascii="Arial" w:hAnsi="Arial" w:cs="Arial"/>
          <w:b/>
          <w:color w:val="000000"/>
          <w:sz w:val="20"/>
          <w:szCs w:val="20"/>
        </w:rPr>
        <w:t>Author Affiliations:</w:t>
      </w:r>
      <w:r w:rsidR="00825FFC" w:rsidRPr="00825FFC">
        <w:rPr>
          <w:rFonts w:ascii="Arial" w:hAnsi="Arial" w:cs="Arial"/>
          <w:color w:val="000000"/>
          <w:sz w:val="20"/>
          <w:szCs w:val="20"/>
        </w:rPr>
        <w:t xml:space="preserve"> </w:t>
      </w:r>
      <w:r w:rsidR="00825FFC" w:rsidRPr="00C2594C">
        <w:rPr>
          <w:rFonts w:ascii="Arial" w:hAnsi="Arial" w:cs="Arial"/>
          <w:color w:val="000000"/>
          <w:sz w:val="20"/>
          <w:szCs w:val="20"/>
        </w:rPr>
        <w:t>University of Pittsburgh Medical Center</w:t>
      </w:r>
      <w:r w:rsidR="00825FFC">
        <w:rPr>
          <w:rFonts w:ascii="Arial" w:hAnsi="Arial" w:cs="Arial"/>
          <w:color w:val="000000"/>
          <w:sz w:val="20"/>
          <w:szCs w:val="20"/>
        </w:rPr>
        <w:t>, Pittsburgh, PA.</w:t>
      </w:r>
    </w:p>
    <w:p w:rsidR="00857E21" w:rsidRDefault="00857E21" w:rsidP="00857E21">
      <w:pPr>
        <w:pStyle w:val="LightGrid-Accent31"/>
        <w:spacing w:after="0" w:line="240" w:lineRule="auto"/>
        <w:ind w:left="0"/>
        <w:rPr>
          <w:rFonts w:ascii="Arial" w:hAnsi="Arial" w:cs="Arial"/>
          <w:color w:val="000000"/>
          <w:sz w:val="20"/>
          <w:szCs w:val="20"/>
        </w:rPr>
      </w:pPr>
    </w:p>
    <w:p w:rsidR="003502F2" w:rsidRPr="00857E21" w:rsidRDefault="00857E21" w:rsidP="00857E21">
      <w:pPr>
        <w:rPr>
          <w:rFonts w:ascii="Arial" w:hAnsi="Arial" w:cs="Arial"/>
          <w:sz w:val="20"/>
          <w:szCs w:val="20"/>
        </w:rPr>
      </w:pPr>
      <w:r>
        <w:rPr>
          <w:rFonts w:ascii="Arial" w:hAnsi="Arial" w:cs="Arial"/>
          <w:b/>
          <w:sz w:val="20"/>
          <w:szCs w:val="20"/>
        </w:rPr>
        <w:t xml:space="preserve">Version History: </w:t>
      </w:r>
      <w:r>
        <w:rPr>
          <w:rFonts w:ascii="Arial" w:hAnsi="Arial" w:cs="Arial"/>
          <w:sz w:val="20"/>
          <w:szCs w:val="20"/>
        </w:rPr>
        <w:t xml:space="preserve">  Originally published April 2010; copy-edited August 2015 with references #</w:t>
      </w:r>
      <w:bookmarkStart w:id="0" w:name="_GoBack"/>
      <w:bookmarkEnd w:id="0"/>
      <w:r>
        <w:rPr>
          <w:rFonts w:ascii="Arial" w:hAnsi="Arial" w:cs="Arial"/>
          <w:sz w:val="20"/>
          <w:szCs w:val="20"/>
        </w:rPr>
        <w:t>5-7 added and incorporated into the text.</w:t>
      </w:r>
    </w:p>
    <w:p w:rsidR="00857E21" w:rsidRPr="00857E21" w:rsidRDefault="00857E21" w:rsidP="00857E21">
      <w:pPr>
        <w:spacing w:line="240" w:lineRule="auto"/>
        <w:rPr>
          <w:rFonts w:ascii="Arial" w:hAnsi="Arial" w:cs="Arial"/>
          <w:i/>
          <w:iCs/>
          <w:sz w:val="20"/>
        </w:rPr>
      </w:pPr>
      <w:r w:rsidRPr="00857E21">
        <w:rPr>
          <w:rFonts w:ascii="Arial" w:hAnsi="Arial" w:cs="Arial"/>
          <w:b/>
          <w:bCs/>
          <w:i/>
          <w:iCs/>
          <w:sz w:val="20"/>
        </w:rPr>
        <w:t>Fast Facts and Concepts</w:t>
      </w:r>
      <w:r w:rsidRPr="00857E21">
        <w:rPr>
          <w:rFonts w:ascii="Arial" w:hAnsi="Arial" w:cs="Arial"/>
          <w:b/>
          <w:bCs/>
          <w:sz w:val="20"/>
        </w:rPr>
        <w:t xml:space="preserve"> </w:t>
      </w:r>
      <w:r w:rsidRPr="00857E21">
        <w:rPr>
          <w:rFonts w:ascii="Arial" w:hAnsi="Arial" w:cs="Arial"/>
          <w:sz w:val="20"/>
        </w:rPr>
        <w:t xml:space="preserve">are edited by Sean Marks MD (Medical College of Wisconsin) and associate editor Drew A Rosielle MD (University of Minnesota Medical School), with the generous support of a volunteer peer-review editorial board, and are made available online by the </w:t>
      </w:r>
      <w:hyperlink r:id="rId6" w:history="1">
        <w:r w:rsidRPr="00857E21">
          <w:rPr>
            <w:rStyle w:val="Hyperlink"/>
            <w:rFonts w:ascii="Arial" w:hAnsi="Arial" w:cs="Arial"/>
            <w:color w:val="386EFF"/>
            <w:sz w:val="20"/>
          </w:rPr>
          <w:t>Palliative Care Network of Wisconsin</w:t>
        </w:r>
      </w:hyperlink>
      <w:r w:rsidRPr="00857E21">
        <w:rPr>
          <w:rFonts w:ascii="Arial" w:hAnsi="Arial" w:cs="Arial"/>
          <w:sz w:val="20"/>
        </w:rPr>
        <w:t xml:space="preserve"> (PCNOW) and the Center to Advance Palliative Care (</w:t>
      </w:r>
      <w:hyperlink r:id="rId7" w:history="1">
        <w:r w:rsidRPr="00857E21">
          <w:rPr>
            <w:rStyle w:val="Hyperlink"/>
            <w:rFonts w:ascii="Arial" w:hAnsi="Arial" w:cs="Arial"/>
            <w:color w:val="386EFF"/>
            <w:sz w:val="20"/>
          </w:rPr>
          <w:t>www.capc.org</w:t>
        </w:r>
      </w:hyperlink>
      <w:r w:rsidRPr="00857E21">
        <w:rPr>
          <w:rFonts w:ascii="Arial" w:hAnsi="Arial" w:cs="Arial"/>
          <w:sz w:val="20"/>
        </w:rPr>
        <w:t xml:space="preserve">). </w:t>
      </w:r>
      <w:r w:rsidRPr="00857E21">
        <w:rPr>
          <w:rFonts w:ascii="Arial" w:hAnsi="Arial" w:cs="Arial"/>
          <w:i/>
          <w:iCs/>
          <w:sz w:val="20"/>
        </w:rPr>
        <w:t xml:space="preserve">Fast Facts and Concepts </w:t>
      </w:r>
      <w:r w:rsidRPr="00857E21">
        <w:rPr>
          <w:rFonts w:ascii="Arial" w:hAnsi="Arial" w:cs="Arial"/>
          <w:sz w:val="20"/>
        </w:rPr>
        <w:t xml:space="preserve">are editorially independent of PCNOW and the Center to Advance Palliative Care, and the authors of each individual </w:t>
      </w:r>
      <w:r w:rsidRPr="00857E21">
        <w:rPr>
          <w:rFonts w:ascii="Arial" w:hAnsi="Arial" w:cs="Arial"/>
          <w:i/>
          <w:iCs/>
          <w:sz w:val="20"/>
        </w:rPr>
        <w:t xml:space="preserve">Fast Fact </w:t>
      </w:r>
      <w:r w:rsidRPr="00857E21">
        <w:rPr>
          <w:rFonts w:ascii="Arial" w:hAnsi="Arial" w:cs="Arial"/>
          <w:sz w:val="20"/>
        </w:rPr>
        <w:t xml:space="preserve">are solely responsible for that </w:t>
      </w:r>
      <w:r w:rsidRPr="00857E21">
        <w:rPr>
          <w:rFonts w:ascii="Arial" w:hAnsi="Arial" w:cs="Arial"/>
          <w:i/>
          <w:iCs/>
          <w:sz w:val="20"/>
        </w:rPr>
        <w:t>Fast Fact’s</w:t>
      </w:r>
      <w:r w:rsidRPr="00857E21">
        <w:rPr>
          <w:rFonts w:ascii="Arial" w:hAnsi="Arial" w:cs="Arial"/>
          <w:sz w:val="20"/>
        </w:rPr>
        <w:t xml:space="preserve"> content. The full </w:t>
      </w:r>
      <w:proofErr w:type="gramStart"/>
      <w:r w:rsidRPr="00857E21">
        <w:rPr>
          <w:rFonts w:ascii="Arial" w:hAnsi="Arial" w:cs="Arial"/>
          <w:sz w:val="20"/>
        </w:rPr>
        <w:t xml:space="preserve">set of </w:t>
      </w:r>
      <w:r w:rsidRPr="00857E21">
        <w:rPr>
          <w:rFonts w:ascii="Arial" w:hAnsi="Arial" w:cs="Arial"/>
          <w:i/>
          <w:iCs/>
          <w:sz w:val="20"/>
        </w:rPr>
        <w:t xml:space="preserve">Fast Facts </w:t>
      </w:r>
      <w:r w:rsidRPr="00857E21">
        <w:rPr>
          <w:rFonts w:ascii="Arial" w:hAnsi="Arial" w:cs="Arial"/>
          <w:sz w:val="20"/>
        </w:rPr>
        <w:t>are</w:t>
      </w:r>
      <w:proofErr w:type="gramEnd"/>
      <w:r w:rsidRPr="00857E21">
        <w:rPr>
          <w:rFonts w:ascii="Arial" w:hAnsi="Arial" w:cs="Arial"/>
          <w:sz w:val="20"/>
        </w:rPr>
        <w:t xml:space="preserve"> available at </w:t>
      </w:r>
      <w:hyperlink r:id="rId8" w:history="1">
        <w:r w:rsidRPr="00857E21">
          <w:rPr>
            <w:rStyle w:val="Hyperlink"/>
            <w:rFonts w:ascii="Arial" w:hAnsi="Arial" w:cs="Arial"/>
            <w:color w:val="386EFF"/>
            <w:sz w:val="20"/>
          </w:rPr>
          <w:t>http://www.mypcnow.org/#!fast-facts/cb1h</w:t>
        </w:r>
      </w:hyperlink>
      <w:r w:rsidRPr="00857E21">
        <w:rPr>
          <w:rFonts w:ascii="Arial" w:hAnsi="Arial" w:cs="Arial"/>
          <w:sz w:val="20"/>
        </w:rPr>
        <w:t xml:space="preserve"> or </w:t>
      </w:r>
      <w:hyperlink r:id="rId9" w:history="1">
        <w:r w:rsidRPr="00857E21">
          <w:rPr>
            <w:rStyle w:val="Hyperlink"/>
            <w:rFonts w:ascii="Arial" w:hAnsi="Arial" w:cs="Arial"/>
            <w:color w:val="386EFF"/>
            <w:sz w:val="20"/>
          </w:rPr>
          <w:t>http://www.capc.org/fast-facts/</w:t>
        </w:r>
      </w:hyperlink>
      <w:r w:rsidRPr="00857E21">
        <w:rPr>
          <w:rFonts w:ascii="Arial" w:hAnsi="Arial" w:cs="Arial"/>
          <w:sz w:val="20"/>
        </w:rPr>
        <w:t xml:space="preserve"> along with contact information, and how to reference </w:t>
      </w:r>
      <w:r w:rsidRPr="00857E21">
        <w:rPr>
          <w:rFonts w:ascii="Arial" w:hAnsi="Arial" w:cs="Arial"/>
          <w:i/>
          <w:iCs/>
          <w:sz w:val="20"/>
        </w:rPr>
        <w:t>Fast Facts.</w:t>
      </w:r>
    </w:p>
    <w:p w:rsidR="00857E21" w:rsidRPr="00857E21" w:rsidRDefault="00857E21" w:rsidP="00857E21">
      <w:pPr>
        <w:spacing w:line="240" w:lineRule="auto"/>
        <w:rPr>
          <w:rFonts w:ascii="Arial" w:hAnsi="Arial" w:cs="Arial"/>
          <w:b/>
          <w:bCs/>
          <w:sz w:val="20"/>
        </w:rPr>
      </w:pPr>
      <w:r w:rsidRPr="00857E21">
        <w:rPr>
          <w:rFonts w:ascii="Arial" w:hAnsi="Arial" w:cs="Arial"/>
          <w:b/>
          <w:bCs/>
          <w:sz w:val="20"/>
        </w:rPr>
        <w:t xml:space="preserve">Copyright: </w:t>
      </w:r>
      <w:r w:rsidRPr="00857E21">
        <w:rPr>
          <w:rFonts w:ascii="Arial" w:hAnsi="Arial" w:cs="Arial"/>
          <w:bCs/>
          <w:sz w:val="20"/>
        </w:rPr>
        <w:t xml:space="preserve"> All </w:t>
      </w:r>
      <w:r w:rsidRPr="00857E21">
        <w:rPr>
          <w:rFonts w:ascii="Arial" w:hAnsi="Arial" w:cs="Arial"/>
          <w:bCs/>
          <w:i/>
          <w:sz w:val="20"/>
        </w:rPr>
        <w:t xml:space="preserve">Fast Facts and Concepts </w:t>
      </w:r>
      <w:r w:rsidRPr="00857E21">
        <w:rPr>
          <w:rFonts w:ascii="Arial" w:hAnsi="Arial" w:cs="Arial"/>
          <w:bCs/>
          <w:sz w:val="20"/>
        </w:rPr>
        <w:t>are published under a Creative Commons Attribution-</w:t>
      </w:r>
      <w:proofErr w:type="spellStart"/>
      <w:r w:rsidRPr="00857E21">
        <w:rPr>
          <w:rFonts w:ascii="Arial" w:hAnsi="Arial" w:cs="Arial"/>
          <w:bCs/>
          <w:sz w:val="20"/>
        </w:rPr>
        <w:t>NonCommercial</w:t>
      </w:r>
      <w:proofErr w:type="spellEnd"/>
      <w:r w:rsidRPr="00857E21">
        <w:rPr>
          <w:rFonts w:ascii="Arial" w:hAnsi="Arial" w:cs="Arial"/>
          <w:bCs/>
          <w:sz w:val="20"/>
        </w:rPr>
        <w:t xml:space="preserve"> 4.0 International Copyright (</w:t>
      </w:r>
      <w:hyperlink r:id="rId10" w:history="1">
        <w:r w:rsidRPr="00857E21">
          <w:rPr>
            <w:rStyle w:val="Hyperlink"/>
            <w:rFonts w:ascii="Arial" w:hAnsi="Arial" w:cs="Arial"/>
            <w:bCs/>
            <w:sz w:val="20"/>
          </w:rPr>
          <w:t>http://creativecommons.org/licenses/by-nc/4.0/</w:t>
        </w:r>
      </w:hyperlink>
      <w:r w:rsidRPr="00857E21">
        <w:rPr>
          <w:rFonts w:ascii="Arial" w:hAnsi="Arial" w:cs="Arial"/>
          <w:bCs/>
          <w:sz w:val="20"/>
        </w:rPr>
        <w:t xml:space="preserve">).  </w:t>
      </w:r>
      <w:r w:rsidRPr="00857E21">
        <w:rPr>
          <w:rFonts w:ascii="Arial" w:hAnsi="Arial" w:cs="Arial"/>
          <w:bCs/>
          <w:i/>
          <w:sz w:val="20"/>
        </w:rPr>
        <w:t xml:space="preserve">Fast Facts </w:t>
      </w:r>
      <w:r w:rsidRPr="00857E21">
        <w:rPr>
          <w:rFonts w:ascii="Arial" w:hAnsi="Arial" w:cs="Arial"/>
          <w:bCs/>
          <w:sz w:val="20"/>
        </w:rPr>
        <w:t xml:space="preserve">can only be copied and distributed for non-commercial, educational purposes. If you adapt or distribute a </w:t>
      </w:r>
      <w:r w:rsidRPr="00857E21">
        <w:rPr>
          <w:rFonts w:ascii="Arial" w:hAnsi="Arial" w:cs="Arial"/>
          <w:bCs/>
          <w:i/>
          <w:sz w:val="20"/>
        </w:rPr>
        <w:t>Fast Fact</w:t>
      </w:r>
      <w:r w:rsidRPr="00857E21">
        <w:rPr>
          <w:rFonts w:ascii="Arial" w:hAnsi="Arial" w:cs="Arial"/>
          <w:bCs/>
          <w:sz w:val="20"/>
        </w:rPr>
        <w:t>, let us know!</w:t>
      </w:r>
    </w:p>
    <w:p w:rsidR="00857E21" w:rsidRPr="00857E21" w:rsidRDefault="00857E21" w:rsidP="00857E21">
      <w:pPr>
        <w:widowControl w:val="0"/>
        <w:autoSpaceDE w:val="0"/>
        <w:autoSpaceDN w:val="0"/>
        <w:adjustRightInd w:val="0"/>
        <w:spacing w:line="240" w:lineRule="auto"/>
        <w:rPr>
          <w:rFonts w:ascii="Arial" w:hAnsi="Arial" w:cs="Arial"/>
          <w:sz w:val="20"/>
        </w:rPr>
      </w:pPr>
      <w:r w:rsidRPr="00857E21">
        <w:rPr>
          <w:rFonts w:ascii="Arial" w:hAnsi="Arial" w:cs="Arial"/>
          <w:b/>
          <w:bCs/>
          <w:sz w:val="20"/>
        </w:rPr>
        <w:t>Disclaimer:</w:t>
      </w:r>
      <w:r w:rsidRPr="00857E21">
        <w:rPr>
          <w:rFonts w:ascii="Arial" w:hAnsi="Arial" w:cs="Arial"/>
          <w:bCs/>
          <w:sz w:val="20"/>
        </w:rPr>
        <w:t xml:space="preserve"> </w:t>
      </w:r>
      <w:r w:rsidRPr="00857E21">
        <w:rPr>
          <w:rFonts w:ascii="Arial" w:hAnsi="Arial" w:cs="Arial"/>
          <w:bCs/>
          <w:i/>
          <w:sz w:val="20"/>
        </w:rPr>
        <w:t>Fast Facts and Concepts</w:t>
      </w:r>
      <w:r w:rsidRPr="00857E21">
        <w:rPr>
          <w:rFonts w:ascii="Arial" w:hAnsi="Arial" w:cs="Arial"/>
          <w:bCs/>
          <w:sz w:val="20"/>
        </w:rPr>
        <w:t xml:space="preserve"> provide educational information for health care professionals. This information is not medical advice. </w:t>
      </w:r>
      <w:r w:rsidRPr="00857E21">
        <w:rPr>
          <w:rFonts w:ascii="Arial" w:hAnsi="Arial" w:cs="Arial"/>
          <w:bCs/>
          <w:i/>
          <w:sz w:val="20"/>
        </w:rPr>
        <w:t xml:space="preserve">Fast Facts </w:t>
      </w:r>
      <w:r w:rsidRPr="00857E21">
        <w:rPr>
          <w:rFonts w:ascii="Arial" w:hAnsi="Arial" w:cs="Arial"/>
          <w:bCs/>
          <w:sz w:val="20"/>
        </w:rPr>
        <w:t xml:space="preserve">are not continually updated, and new safety information may emerge after a </w:t>
      </w:r>
      <w:r w:rsidRPr="00857E21">
        <w:rPr>
          <w:rFonts w:ascii="Arial" w:hAnsi="Arial" w:cs="Arial"/>
          <w:bCs/>
          <w:i/>
          <w:sz w:val="20"/>
        </w:rPr>
        <w:t xml:space="preserve">Fast Fact </w:t>
      </w:r>
      <w:r w:rsidRPr="00857E21">
        <w:rPr>
          <w:rFonts w:ascii="Arial" w:hAnsi="Arial" w:cs="Arial"/>
          <w:bCs/>
          <w:sz w:val="20"/>
        </w:rPr>
        <w:t xml:space="preserve">is published. Health care providers should always exercise their own independent clinical judgment and consult other relevant and up-to-date experts and resources. Some </w:t>
      </w:r>
      <w:r w:rsidRPr="00857E21">
        <w:rPr>
          <w:rFonts w:ascii="Arial" w:hAnsi="Arial" w:cs="Arial"/>
          <w:bCs/>
          <w:i/>
          <w:sz w:val="20"/>
        </w:rPr>
        <w:t>Fast Facts</w:t>
      </w:r>
      <w:r w:rsidRPr="00857E21">
        <w:rPr>
          <w:rFonts w:ascii="Arial" w:hAnsi="Arial" w:cs="Arial"/>
          <w:bCs/>
          <w:sz w:val="20"/>
        </w:rPr>
        <w:t xml:space="preserve"> cite the use of a product in a dosage, for an indication, or in a manner other than that recommended in the product labeling. Accordingly, the official prescribing information should be consulted before any such product is used.</w:t>
      </w:r>
    </w:p>
    <w:p w:rsidR="003502F2" w:rsidRDefault="003502F2" w:rsidP="00CF39DF">
      <w:pPr>
        <w:tabs>
          <w:tab w:val="left" w:pos="3600"/>
        </w:tabs>
        <w:spacing w:line="240" w:lineRule="auto"/>
      </w:pPr>
    </w:p>
    <w:sectPr w:rsidR="003502F2" w:rsidSect="009D7F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0F76"/>
    <w:multiLevelType w:val="hybridMultilevel"/>
    <w:tmpl w:val="4AC014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92A7525"/>
    <w:multiLevelType w:val="hybridMultilevel"/>
    <w:tmpl w:val="DF020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D7A9B"/>
    <w:rsid w:val="000178E9"/>
    <w:rsid w:val="0023647F"/>
    <w:rsid w:val="002F2E19"/>
    <w:rsid w:val="003502F2"/>
    <w:rsid w:val="00363D0E"/>
    <w:rsid w:val="0055679E"/>
    <w:rsid w:val="005B51B8"/>
    <w:rsid w:val="00624644"/>
    <w:rsid w:val="00720E9C"/>
    <w:rsid w:val="0074328F"/>
    <w:rsid w:val="00825FFC"/>
    <w:rsid w:val="00857E21"/>
    <w:rsid w:val="00863CC5"/>
    <w:rsid w:val="008D1A99"/>
    <w:rsid w:val="008D3B37"/>
    <w:rsid w:val="009616FD"/>
    <w:rsid w:val="00993A1C"/>
    <w:rsid w:val="009D7F3C"/>
    <w:rsid w:val="00A458A4"/>
    <w:rsid w:val="00A86F96"/>
    <w:rsid w:val="00AD7A9B"/>
    <w:rsid w:val="00C059A7"/>
    <w:rsid w:val="00C2594C"/>
    <w:rsid w:val="00C74972"/>
    <w:rsid w:val="00CF39DF"/>
    <w:rsid w:val="00D72DC5"/>
    <w:rsid w:val="00DE72A4"/>
    <w:rsid w:val="00E336D5"/>
    <w:rsid w:val="00E93168"/>
    <w:rsid w:val="00F1089F"/>
    <w:rsid w:val="00F650D3"/>
    <w:rsid w:val="00FC1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A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ghtGrid-Accent31">
    <w:name w:val="Light Grid - Accent 31"/>
    <w:basedOn w:val="Normal"/>
    <w:uiPriority w:val="34"/>
    <w:qFormat/>
    <w:rsid w:val="00AD7A9B"/>
    <w:pPr>
      <w:ind w:left="720"/>
      <w:contextualSpacing/>
    </w:pPr>
  </w:style>
  <w:style w:type="paragraph" w:styleId="BalloonText">
    <w:name w:val="Balloon Text"/>
    <w:basedOn w:val="Normal"/>
    <w:link w:val="BalloonTextChar"/>
    <w:uiPriority w:val="99"/>
    <w:semiHidden/>
    <w:unhideWhenUsed/>
    <w:rsid w:val="00A26282"/>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A26282"/>
    <w:rPr>
      <w:rFonts w:ascii="Lucida Grande" w:hAnsi="Lucida Grande"/>
      <w:sz w:val="18"/>
      <w:szCs w:val="18"/>
    </w:rPr>
  </w:style>
  <w:style w:type="character" w:styleId="CommentReference">
    <w:name w:val="annotation reference"/>
    <w:uiPriority w:val="99"/>
    <w:semiHidden/>
    <w:unhideWhenUsed/>
    <w:rsid w:val="00A26282"/>
    <w:rPr>
      <w:sz w:val="18"/>
      <w:szCs w:val="18"/>
    </w:rPr>
  </w:style>
  <w:style w:type="paragraph" w:styleId="CommentText">
    <w:name w:val="annotation text"/>
    <w:basedOn w:val="Normal"/>
    <w:link w:val="CommentTextChar"/>
    <w:uiPriority w:val="99"/>
    <w:semiHidden/>
    <w:unhideWhenUsed/>
    <w:rsid w:val="00A26282"/>
    <w:rPr>
      <w:sz w:val="24"/>
      <w:szCs w:val="24"/>
    </w:rPr>
  </w:style>
  <w:style w:type="character" w:customStyle="1" w:styleId="CommentTextChar">
    <w:name w:val="Comment Text Char"/>
    <w:link w:val="CommentText"/>
    <w:uiPriority w:val="99"/>
    <w:semiHidden/>
    <w:rsid w:val="00A26282"/>
    <w:rPr>
      <w:sz w:val="24"/>
      <w:szCs w:val="24"/>
    </w:rPr>
  </w:style>
  <w:style w:type="paragraph" w:styleId="CommentSubject">
    <w:name w:val="annotation subject"/>
    <w:basedOn w:val="CommentText"/>
    <w:next w:val="CommentText"/>
    <w:link w:val="CommentSubjectChar"/>
    <w:uiPriority w:val="99"/>
    <w:semiHidden/>
    <w:unhideWhenUsed/>
    <w:rsid w:val="00A26282"/>
    <w:rPr>
      <w:b/>
      <w:bCs/>
      <w:sz w:val="20"/>
      <w:szCs w:val="20"/>
    </w:rPr>
  </w:style>
  <w:style w:type="character" w:customStyle="1" w:styleId="CommentSubjectChar">
    <w:name w:val="Comment Subject Char"/>
    <w:link w:val="CommentSubject"/>
    <w:uiPriority w:val="99"/>
    <w:semiHidden/>
    <w:rsid w:val="00A26282"/>
    <w:rPr>
      <w:b/>
      <w:bCs/>
      <w:sz w:val="24"/>
      <w:szCs w:val="24"/>
    </w:rPr>
  </w:style>
  <w:style w:type="paragraph" w:customStyle="1" w:styleId="ColorfulShading-Accent11">
    <w:name w:val="Colorful Shading - Accent 11"/>
    <w:hidden/>
    <w:uiPriority w:val="99"/>
    <w:semiHidden/>
    <w:rsid w:val="00555BEA"/>
    <w:rPr>
      <w:sz w:val="22"/>
      <w:szCs w:val="22"/>
    </w:rPr>
  </w:style>
  <w:style w:type="paragraph" w:styleId="Revision">
    <w:name w:val="Revision"/>
    <w:hidden/>
    <w:uiPriority w:val="99"/>
    <w:semiHidden/>
    <w:rsid w:val="005B51B8"/>
    <w:rPr>
      <w:sz w:val="22"/>
      <w:szCs w:val="22"/>
    </w:rPr>
  </w:style>
  <w:style w:type="character" w:styleId="Hyperlink">
    <w:name w:val="Hyperlink"/>
    <w:rsid w:val="00825FF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480990">
      <w:bodyDiv w:val="1"/>
      <w:marLeft w:val="0"/>
      <w:marRight w:val="0"/>
      <w:marTop w:val="0"/>
      <w:marBottom w:val="0"/>
      <w:divBdr>
        <w:top w:val="none" w:sz="0" w:space="0" w:color="auto"/>
        <w:left w:val="none" w:sz="0" w:space="0" w:color="auto"/>
        <w:bottom w:val="none" w:sz="0" w:space="0" w:color="auto"/>
        <w:right w:val="none" w:sz="0" w:space="0" w:color="auto"/>
      </w:divBdr>
    </w:div>
    <w:div w:id="819271532">
      <w:bodyDiv w:val="1"/>
      <w:marLeft w:val="0"/>
      <w:marRight w:val="0"/>
      <w:marTop w:val="0"/>
      <w:marBottom w:val="0"/>
      <w:divBdr>
        <w:top w:val="none" w:sz="0" w:space="0" w:color="auto"/>
        <w:left w:val="none" w:sz="0" w:space="0" w:color="auto"/>
        <w:bottom w:val="none" w:sz="0" w:space="0" w:color="auto"/>
        <w:right w:val="none" w:sz="0" w:space="0" w:color="auto"/>
      </w:divBdr>
    </w:div>
    <w:div w:id="1142892702">
      <w:bodyDiv w:val="1"/>
      <w:marLeft w:val="0"/>
      <w:marRight w:val="0"/>
      <w:marTop w:val="0"/>
      <w:marBottom w:val="0"/>
      <w:divBdr>
        <w:top w:val="none" w:sz="0" w:space="0" w:color="auto"/>
        <w:left w:val="none" w:sz="0" w:space="0" w:color="auto"/>
        <w:bottom w:val="none" w:sz="0" w:space="0" w:color="auto"/>
        <w:right w:val="none" w:sz="0" w:space="0" w:color="auto"/>
      </w:divBdr>
    </w:div>
    <w:div w:id="1298756529">
      <w:bodyDiv w:val="1"/>
      <w:marLeft w:val="0"/>
      <w:marRight w:val="0"/>
      <w:marTop w:val="0"/>
      <w:marBottom w:val="0"/>
      <w:divBdr>
        <w:top w:val="none" w:sz="0" w:space="0" w:color="auto"/>
        <w:left w:val="none" w:sz="0" w:space="0" w:color="auto"/>
        <w:bottom w:val="none" w:sz="0" w:space="0" w:color="auto"/>
        <w:right w:val="none" w:sz="0" w:space="0" w:color="auto"/>
      </w:divBdr>
    </w:div>
    <w:div w:id="1396199043">
      <w:bodyDiv w:val="1"/>
      <w:marLeft w:val="0"/>
      <w:marRight w:val="0"/>
      <w:marTop w:val="0"/>
      <w:marBottom w:val="0"/>
      <w:divBdr>
        <w:top w:val="none" w:sz="0" w:space="0" w:color="auto"/>
        <w:left w:val="none" w:sz="0" w:space="0" w:color="auto"/>
        <w:bottom w:val="none" w:sz="0" w:space="0" w:color="auto"/>
        <w:right w:val="none" w:sz="0" w:space="0" w:color="auto"/>
      </w:divBdr>
      <w:divsChild>
        <w:div w:id="887381521">
          <w:marLeft w:val="0"/>
          <w:marRight w:val="0"/>
          <w:marTop w:val="0"/>
          <w:marBottom w:val="0"/>
          <w:divBdr>
            <w:top w:val="none" w:sz="0" w:space="0" w:color="auto"/>
            <w:left w:val="none" w:sz="0" w:space="0" w:color="auto"/>
            <w:bottom w:val="none" w:sz="0" w:space="0" w:color="auto"/>
            <w:right w:val="none" w:sz="0" w:space="0" w:color="auto"/>
          </w:divBdr>
        </w:div>
        <w:div w:id="1802993561">
          <w:marLeft w:val="0"/>
          <w:marRight w:val="0"/>
          <w:marTop w:val="0"/>
          <w:marBottom w:val="0"/>
          <w:divBdr>
            <w:top w:val="none" w:sz="0" w:space="0" w:color="auto"/>
            <w:left w:val="none" w:sz="0" w:space="0" w:color="auto"/>
            <w:bottom w:val="none" w:sz="0" w:space="0" w:color="auto"/>
            <w:right w:val="none" w:sz="0" w:space="0" w:color="auto"/>
          </w:divBdr>
        </w:div>
      </w:divsChild>
    </w:div>
    <w:div w:id="214022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ypcnow.org/%23!fast-facts/cb1h" TargetMode="External"/><Relationship Id="rId3" Type="http://schemas.microsoft.com/office/2007/relationships/stylesWithEffects" Target="stylesWithEffects.xml"/><Relationship Id="rId7" Type="http://schemas.openxmlformats.org/officeDocument/2006/relationships/hyperlink" Target="http://www.capc.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ypcnow.or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creativecommons.org/licenses/by-nc/4.0/" TargetMode="External"/><Relationship Id="rId4" Type="http://schemas.openxmlformats.org/officeDocument/2006/relationships/settings" Target="settings.xml"/><Relationship Id="rId9" Type="http://schemas.openxmlformats.org/officeDocument/2006/relationships/hyperlink" Target="http://www.capc.org/fast-f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2</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romy</dc:creator>
  <cp:keywords/>
  <cp:lastModifiedBy>smarks</cp:lastModifiedBy>
  <cp:revision>5</cp:revision>
  <dcterms:created xsi:type="dcterms:W3CDTF">2010-02-02T16:42:00Z</dcterms:created>
  <dcterms:modified xsi:type="dcterms:W3CDTF">2015-08-12T20:50:00Z</dcterms:modified>
</cp:coreProperties>
</file>