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DA" w:rsidRDefault="001E6EDA" w:rsidP="001E6E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520B5">
        <w:rPr>
          <w:rFonts w:ascii="Arial" w:hAnsi="Arial" w:cs="Arial"/>
          <w:b/>
          <w:sz w:val="20"/>
          <w:szCs w:val="20"/>
        </w:rPr>
        <w:t>FAST FACTS AND CONCEPTS</w:t>
      </w:r>
      <w:r>
        <w:rPr>
          <w:rFonts w:ascii="Arial" w:hAnsi="Arial" w:cs="Arial"/>
          <w:b/>
          <w:sz w:val="20"/>
          <w:szCs w:val="20"/>
        </w:rPr>
        <w:t xml:space="preserve"> #</w:t>
      </w:r>
      <w:r w:rsidR="009A3CB5">
        <w:rPr>
          <w:rFonts w:ascii="Arial" w:hAnsi="Arial" w:cs="Arial"/>
          <w:b/>
          <w:sz w:val="20"/>
          <w:szCs w:val="20"/>
        </w:rPr>
        <w:t>289</w:t>
      </w:r>
    </w:p>
    <w:p w:rsidR="001E6EDA" w:rsidRDefault="001E6EDA" w:rsidP="001E6E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20B5">
        <w:rPr>
          <w:rFonts w:ascii="Arial" w:hAnsi="Arial" w:cs="Arial"/>
          <w:b/>
          <w:sz w:val="20"/>
          <w:szCs w:val="20"/>
        </w:rPr>
        <w:t xml:space="preserve">A COMPARISON OF PREGABALIN AND GABAPENTIN IN PALLIATIVE CARE  </w:t>
      </w:r>
    </w:p>
    <w:p w:rsidR="009A3CB5" w:rsidRDefault="009A3CB5" w:rsidP="009A3CB5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37719">
        <w:rPr>
          <w:rFonts w:ascii="Arial" w:hAnsi="Arial" w:cs="Arial"/>
          <w:b/>
          <w:sz w:val="20"/>
          <w:szCs w:val="20"/>
        </w:rPr>
        <w:t>Jennifer</w:t>
      </w:r>
      <w:r>
        <w:rPr>
          <w:rFonts w:ascii="Arial" w:hAnsi="Arial" w:cs="Arial"/>
          <w:b/>
          <w:sz w:val="20"/>
          <w:szCs w:val="20"/>
        </w:rPr>
        <w:t xml:space="preserve"> Pruskowski </w:t>
      </w:r>
      <w:proofErr w:type="spellStart"/>
      <w:r>
        <w:rPr>
          <w:rFonts w:ascii="Arial" w:hAnsi="Arial" w:cs="Arial"/>
          <w:b/>
          <w:sz w:val="20"/>
          <w:szCs w:val="20"/>
        </w:rPr>
        <w:t>PharmD</w:t>
      </w:r>
      <w:proofErr w:type="spellEnd"/>
      <w:r w:rsidRPr="00A37719">
        <w:rPr>
          <w:rFonts w:ascii="Arial" w:hAnsi="Arial" w:cs="Arial"/>
          <w:b/>
          <w:sz w:val="20"/>
          <w:szCs w:val="20"/>
        </w:rPr>
        <w:t xml:space="preserve"> and Robert M Arnold MD</w:t>
      </w:r>
    </w:p>
    <w:p w:rsidR="001E6EDA" w:rsidRDefault="001E6EDA" w:rsidP="001E6E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520B5">
        <w:rPr>
          <w:rFonts w:ascii="Arial" w:hAnsi="Arial" w:cs="Arial"/>
          <w:b/>
          <w:sz w:val="20"/>
          <w:szCs w:val="20"/>
        </w:rPr>
        <w:t>Background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9520B5">
        <w:rPr>
          <w:rFonts w:ascii="Arial" w:hAnsi="Arial" w:cs="Arial"/>
          <w:sz w:val="20"/>
          <w:szCs w:val="20"/>
        </w:rPr>
        <w:t xml:space="preserve"> Gabapentin (Neurontin®) and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(Lyrica®) share a similar mechanism of action; however the compounds differ in their pharmacokinetic and </w:t>
      </w:r>
      <w:proofErr w:type="spellStart"/>
      <w:r w:rsidRPr="009520B5">
        <w:rPr>
          <w:rFonts w:ascii="Arial" w:hAnsi="Arial" w:cs="Arial"/>
          <w:sz w:val="20"/>
          <w:szCs w:val="20"/>
        </w:rPr>
        <w:t>pharmacodynamic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characteristics. See </w:t>
      </w:r>
      <w:r w:rsidRPr="009520B5">
        <w:rPr>
          <w:rFonts w:ascii="Arial" w:hAnsi="Arial" w:cs="Arial"/>
          <w:i/>
          <w:sz w:val="20"/>
          <w:szCs w:val="20"/>
        </w:rPr>
        <w:t>Fast Fact #</w:t>
      </w:r>
      <w:r w:rsidRPr="009520B5">
        <w:rPr>
          <w:rFonts w:ascii="Arial" w:hAnsi="Arial" w:cs="Arial"/>
          <w:sz w:val="20"/>
          <w:szCs w:val="20"/>
        </w:rPr>
        <w:t xml:space="preserve">049 for more information regarding gabapentin and </w:t>
      </w:r>
      <w:r w:rsidRPr="009520B5">
        <w:rPr>
          <w:rFonts w:ascii="Arial" w:hAnsi="Arial" w:cs="Arial"/>
          <w:i/>
          <w:sz w:val="20"/>
          <w:szCs w:val="20"/>
        </w:rPr>
        <w:t>Fast Fact</w:t>
      </w:r>
      <w:r w:rsidRPr="009520B5">
        <w:rPr>
          <w:rFonts w:ascii="Arial" w:hAnsi="Arial" w:cs="Arial"/>
          <w:sz w:val="20"/>
          <w:szCs w:val="20"/>
        </w:rPr>
        <w:t xml:space="preserve"> #</w:t>
      </w:r>
      <w:r w:rsidR="009A3CB5">
        <w:rPr>
          <w:rFonts w:ascii="Arial" w:hAnsi="Arial" w:cs="Arial"/>
          <w:sz w:val="20"/>
          <w:szCs w:val="20"/>
        </w:rPr>
        <w:t>299</w:t>
      </w:r>
      <w:r w:rsidRPr="009520B5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. This </w:t>
      </w:r>
      <w:r w:rsidRPr="009520B5">
        <w:rPr>
          <w:rFonts w:ascii="Arial" w:hAnsi="Arial" w:cs="Arial"/>
          <w:i/>
          <w:sz w:val="20"/>
          <w:szCs w:val="20"/>
        </w:rPr>
        <w:t>Fast Fact</w:t>
      </w:r>
      <w:r w:rsidRPr="009520B5">
        <w:rPr>
          <w:rFonts w:ascii="Arial" w:hAnsi="Arial" w:cs="Arial"/>
          <w:sz w:val="20"/>
          <w:szCs w:val="20"/>
        </w:rPr>
        <w:t xml:space="preserve"> will compare and contrast these two agents.  </w:t>
      </w:r>
    </w:p>
    <w:p w:rsidR="001E6EDA" w:rsidRPr="009520B5" w:rsidRDefault="001E6EDA" w:rsidP="001E6E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6EDA" w:rsidRPr="009520B5" w:rsidRDefault="001E6EDA" w:rsidP="001E6E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520B5">
        <w:rPr>
          <w:rFonts w:ascii="Arial" w:hAnsi="Arial" w:cs="Arial"/>
          <w:b/>
          <w:sz w:val="20"/>
          <w:szCs w:val="20"/>
        </w:rPr>
        <w:t>Pharmacokinetic Profile Comparison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9520B5">
        <w:rPr>
          <w:rFonts w:ascii="Arial" w:hAnsi="Arial" w:cs="Arial"/>
          <w:sz w:val="20"/>
          <w:szCs w:val="20"/>
        </w:rPr>
        <w:t xml:space="preserve"> The major pharmacokinetic difference between gabapentin and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is their absorption from the GI tract.  The absolute bioavailability of gabapentin drops from 60-33% as the dosage increases from 900-3600mg/</w:t>
      </w:r>
      <w:proofErr w:type="gramStart"/>
      <w:r w:rsidRPr="009520B5">
        <w:rPr>
          <w:rFonts w:ascii="Arial" w:hAnsi="Arial" w:cs="Arial"/>
          <w:sz w:val="20"/>
          <w:szCs w:val="20"/>
        </w:rPr>
        <w:t>day</w:t>
      </w:r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1)</w:t>
      </w:r>
      <w:r w:rsidRPr="009520B5">
        <w:rPr>
          <w:rFonts w:ascii="Arial" w:hAnsi="Arial" w:cs="Arial"/>
          <w:sz w:val="20"/>
          <w:szCs w:val="20"/>
        </w:rPr>
        <w:t xml:space="preserve">, while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remains ≥90% irrespective of dosage. This suggests that dose escalations of gabapentin are accompanied by a </w:t>
      </w:r>
      <w:r>
        <w:rPr>
          <w:rFonts w:ascii="Arial" w:hAnsi="Arial" w:cs="Arial"/>
          <w:sz w:val="20"/>
          <w:szCs w:val="20"/>
        </w:rPr>
        <w:t xml:space="preserve">therapeutic </w:t>
      </w:r>
      <w:r w:rsidRPr="009520B5">
        <w:rPr>
          <w:rFonts w:ascii="Arial" w:hAnsi="Arial" w:cs="Arial"/>
          <w:sz w:val="20"/>
          <w:szCs w:val="20"/>
        </w:rPr>
        <w:t>ceiling effect</w:t>
      </w:r>
      <w:r>
        <w:rPr>
          <w:rFonts w:ascii="Arial" w:hAnsi="Arial" w:cs="Arial"/>
          <w:sz w:val="20"/>
          <w:szCs w:val="20"/>
        </w:rPr>
        <w:t>, although this has not been proven in studies</w:t>
      </w:r>
      <w:r w:rsidRPr="009520B5">
        <w:rPr>
          <w:rFonts w:ascii="Arial" w:hAnsi="Arial" w:cs="Arial"/>
          <w:sz w:val="20"/>
          <w:szCs w:val="20"/>
        </w:rPr>
        <w:t xml:space="preserve">.  Neither medication binds to plasma proteins, both undergo negligible metabolism, </w:t>
      </w:r>
      <w:proofErr w:type="gramStart"/>
      <w:r w:rsidRPr="009520B5">
        <w:rPr>
          <w:rFonts w:ascii="Arial" w:hAnsi="Arial" w:cs="Arial"/>
          <w:sz w:val="20"/>
          <w:szCs w:val="20"/>
        </w:rPr>
        <w:t>and</w:t>
      </w:r>
      <w:proofErr w:type="gramEnd"/>
      <w:r w:rsidRPr="009520B5">
        <w:rPr>
          <w:rFonts w:ascii="Arial" w:hAnsi="Arial" w:cs="Arial"/>
          <w:sz w:val="20"/>
          <w:szCs w:val="20"/>
        </w:rPr>
        <w:t xml:space="preserve"> both are </w:t>
      </w:r>
      <w:proofErr w:type="spellStart"/>
      <w:r w:rsidRPr="009520B5">
        <w:rPr>
          <w:rFonts w:ascii="Arial" w:hAnsi="Arial" w:cs="Arial"/>
          <w:sz w:val="20"/>
          <w:szCs w:val="20"/>
        </w:rPr>
        <w:t>renally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excreted with terminal half-lives of 5-6 hours.  Overall, literature suggests that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has a small pharmacokinetic advantage over gabapentin, although there is little evidence-based literature to support its </w:t>
      </w:r>
      <w:r>
        <w:rPr>
          <w:rFonts w:ascii="Arial" w:hAnsi="Arial" w:cs="Arial"/>
          <w:sz w:val="20"/>
          <w:szCs w:val="20"/>
        </w:rPr>
        <w:t xml:space="preserve">clinical </w:t>
      </w:r>
      <w:r w:rsidRPr="009520B5">
        <w:rPr>
          <w:rFonts w:ascii="Arial" w:hAnsi="Arial" w:cs="Arial"/>
          <w:sz w:val="20"/>
          <w:szCs w:val="20"/>
        </w:rPr>
        <w:t>superiority in patient care</w:t>
      </w:r>
      <w:r>
        <w:rPr>
          <w:rFonts w:ascii="Arial" w:hAnsi="Arial" w:cs="Arial"/>
          <w:sz w:val="20"/>
          <w:szCs w:val="20"/>
        </w:rPr>
        <w:t xml:space="preserve"> (2).</w:t>
      </w:r>
    </w:p>
    <w:p w:rsidR="001E6EDA" w:rsidRDefault="001E6EDA" w:rsidP="001E6E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E6EDA" w:rsidRPr="009520B5" w:rsidRDefault="001E6EDA" w:rsidP="001E6ED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520B5">
        <w:rPr>
          <w:rFonts w:ascii="Arial" w:hAnsi="Arial" w:cs="Arial"/>
          <w:b/>
          <w:sz w:val="20"/>
          <w:szCs w:val="20"/>
        </w:rPr>
        <w:t>Pharmacodynamic</w:t>
      </w:r>
      <w:proofErr w:type="spellEnd"/>
      <w:r w:rsidRPr="009520B5">
        <w:rPr>
          <w:rFonts w:ascii="Arial" w:hAnsi="Arial" w:cs="Arial"/>
          <w:b/>
          <w:sz w:val="20"/>
          <w:szCs w:val="20"/>
        </w:rPr>
        <w:t xml:space="preserve"> Profile Comparison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9520B5">
        <w:rPr>
          <w:rFonts w:ascii="Arial" w:hAnsi="Arial" w:cs="Arial"/>
          <w:sz w:val="20"/>
          <w:szCs w:val="20"/>
        </w:rPr>
        <w:t xml:space="preserve"> The onset of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is approximately 25 minutes, compared to 1-3 hours for gabapentin. Equally important,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can be more rapidly titrated to an effective dose range than gabapentin (1-2 days for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versus approximately 9 days for gabapentin)</w:t>
      </w:r>
      <w:r>
        <w:rPr>
          <w:rFonts w:ascii="Arial" w:hAnsi="Arial" w:cs="Arial"/>
          <w:sz w:val="20"/>
          <w:szCs w:val="20"/>
        </w:rPr>
        <w:t xml:space="preserve"> (3)</w:t>
      </w:r>
      <w:r w:rsidRPr="009520B5">
        <w:rPr>
          <w:rFonts w:ascii="Arial" w:hAnsi="Arial" w:cs="Arial"/>
          <w:sz w:val="20"/>
          <w:szCs w:val="20"/>
        </w:rPr>
        <w:t>.</w:t>
      </w:r>
    </w:p>
    <w:p w:rsidR="001E6EDA" w:rsidRDefault="001E6EDA" w:rsidP="001E6E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E6EDA" w:rsidRPr="009520B5" w:rsidRDefault="001E6EDA" w:rsidP="001E6E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520B5">
        <w:rPr>
          <w:rFonts w:ascii="Arial" w:hAnsi="Arial" w:cs="Arial"/>
          <w:b/>
          <w:sz w:val="20"/>
          <w:szCs w:val="20"/>
        </w:rPr>
        <w:t>Other Differences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9A3CB5">
        <w:rPr>
          <w:rFonts w:ascii="Arial" w:hAnsi="Arial" w:cs="Arial"/>
          <w:b/>
          <w:sz w:val="20"/>
          <w:szCs w:val="20"/>
        </w:rPr>
        <w:t xml:space="preserve"> </w:t>
      </w:r>
      <w:r w:rsidRPr="00952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Research </w:t>
      </w:r>
      <w:r w:rsidRPr="009520B5">
        <w:rPr>
          <w:rFonts w:ascii="Arial" w:hAnsi="Arial" w:cs="Arial"/>
          <w:sz w:val="20"/>
          <w:szCs w:val="20"/>
        </w:rPr>
        <w:t>suggest</w:t>
      </w:r>
      <w:r>
        <w:rPr>
          <w:rFonts w:ascii="Arial" w:hAnsi="Arial" w:cs="Arial"/>
          <w:sz w:val="20"/>
          <w:szCs w:val="20"/>
        </w:rPr>
        <w:t>s</w:t>
      </w:r>
      <w:r w:rsidRPr="009520B5">
        <w:rPr>
          <w:rFonts w:ascii="Arial" w:hAnsi="Arial" w:cs="Arial"/>
          <w:sz w:val="20"/>
          <w:szCs w:val="20"/>
        </w:rPr>
        <w:t xml:space="preserve"> a target dose of at least 900-1,800mg/day (in divided doses) of gabapentin to maintain analgesia for persistent pain</w:t>
      </w:r>
      <w:r>
        <w:rPr>
          <w:rFonts w:ascii="Arial" w:hAnsi="Arial" w:cs="Arial"/>
          <w:sz w:val="20"/>
          <w:szCs w:val="20"/>
        </w:rPr>
        <w:t xml:space="preserve"> (4)</w:t>
      </w:r>
      <w:r w:rsidRPr="009520B5">
        <w:rPr>
          <w:rFonts w:ascii="Arial" w:hAnsi="Arial" w:cs="Arial"/>
          <w:sz w:val="20"/>
          <w:szCs w:val="20"/>
        </w:rPr>
        <w:t>, although doses as high as 6,000mg/day have been taken for cancer pain</w:t>
      </w:r>
      <w:r>
        <w:rPr>
          <w:rFonts w:ascii="Arial" w:hAnsi="Arial" w:cs="Arial"/>
          <w:sz w:val="20"/>
          <w:szCs w:val="20"/>
        </w:rPr>
        <w:t xml:space="preserve"> (5)</w:t>
      </w:r>
      <w:r w:rsidRPr="009520B5">
        <w:rPr>
          <w:rFonts w:ascii="Arial" w:hAnsi="Arial" w:cs="Arial"/>
          <w:sz w:val="20"/>
          <w:szCs w:val="20"/>
        </w:rPr>
        <w:t xml:space="preserve">.  With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>, it appears analgesia can be achieved and maintained at any dose</w:t>
      </w:r>
      <w:r>
        <w:rPr>
          <w:rFonts w:ascii="Arial" w:hAnsi="Arial" w:cs="Arial"/>
          <w:sz w:val="20"/>
          <w:szCs w:val="20"/>
        </w:rPr>
        <w:t xml:space="preserve"> (6)</w:t>
      </w:r>
      <w:r w:rsidRPr="009520B5">
        <w:rPr>
          <w:rFonts w:ascii="Arial" w:hAnsi="Arial" w:cs="Arial"/>
          <w:sz w:val="20"/>
          <w:szCs w:val="20"/>
        </w:rPr>
        <w:t xml:space="preserve">.  The </w:t>
      </w:r>
      <w:r>
        <w:rPr>
          <w:rFonts w:ascii="Arial" w:hAnsi="Arial" w:cs="Arial"/>
          <w:sz w:val="20"/>
          <w:szCs w:val="20"/>
        </w:rPr>
        <w:t>side effects</w:t>
      </w:r>
      <w:r w:rsidRPr="009520B5">
        <w:rPr>
          <w:rFonts w:ascii="Arial" w:hAnsi="Arial" w:cs="Arial"/>
          <w:sz w:val="20"/>
          <w:szCs w:val="20"/>
        </w:rPr>
        <w:t xml:space="preserve"> of both drugs are dose dependent, reversible</w:t>
      </w:r>
      <w:r>
        <w:rPr>
          <w:rFonts w:ascii="Arial" w:hAnsi="Arial" w:cs="Arial"/>
          <w:sz w:val="20"/>
          <w:szCs w:val="20"/>
        </w:rPr>
        <w:t>,</w:t>
      </w:r>
      <w:r w:rsidRPr="009520B5">
        <w:rPr>
          <w:rFonts w:ascii="Arial" w:hAnsi="Arial" w:cs="Arial"/>
          <w:sz w:val="20"/>
          <w:szCs w:val="20"/>
        </w:rPr>
        <w:t xml:space="preserve"> and relatively similar in nature</w:t>
      </w:r>
      <w:r>
        <w:rPr>
          <w:rFonts w:ascii="Arial" w:hAnsi="Arial" w:cs="Arial"/>
          <w:sz w:val="20"/>
          <w:szCs w:val="20"/>
        </w:rPr>
        <w:t xml:space="preserve"> (e.g., </w:t>
      </w:r>
      <w:r w:rsidRPr="009520B5">
        <w:rPr>
          <w:rFonts w:ascii="Arial" w:hAnsi="Arial" w:cs="Arial"/>
          <w:sz w:val="20"/>
          <w:szCs w:val="20"/>
        </w:rPr>
        <w:t>dizziness and somnolence</w:t>
      </w:r>
      <w:r>
        <w:rPr>
          <w:rFonts w:ascii="Arial" w:hAnsi="Arial" w:cs="Arial"/>
          <w:sz w:val="20"/>
          <w:szCs w:val="20"/>
        </w:rPr>
        <w:t>)</w:t>
      </w:r>
      <w:r w:rsidRPr="009520B5">
        <w:rPr>
          <w:rFonts w:ascii="Arial" w:hAnsi="Arial" w:cs="Arial"/>
          <w:sz w:val="20"/>
          <w:szCs w:val="20"/>
        </w:rPr>
        <w:t xml:space="preserve">.  There is no significant difference in the number of drug interactions.  Gabapentin is not a controlled substance, while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is designated as a Schedule V drug. </w:t>
      </w:r>
    </w:p>
    <w:p w:rsidR="001E6EDA" w:rsidRDefault="001E6EDA" w:rsidP="001E6E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E6EDA" w:rsidRPr="009520B5" w:rsidRDefault="001E6EDA" w:rsidP="001E6E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520B5">
        <w:rPr>
          <w:rFonts w:ascii="Arial" w:hAnsi="Arial" w:cs="Arial"/>
          <w:b/>
          <w:sz w:val="20"/>
          <w:szCs w:val="20"/>
        </w:rPr>
        <w:t>Use in Palliative Care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520B5">
        <w:rPr>
          <w:rFonts w:ascii="Arial" w:hAnsi="Arial" w:cs="Arial"/>
          <w:sz w:val="20"/>
          <w:szCs w:val="20"/>
        </w:rPr>
        <w:t xml:space="preserve"> </w:t>
      </w:r>
      <w:r w:rsidR="009A3CB5">
        <w:rPr>
          <w:rFonts w:ascii="Arial" w:hAnsi="Arial" w:cs="Arial"/>
          <w:sz w:val="20"/>
          <w:szCs w:val="20"/>
        </w:rPr>
        <w:t xml:space="preserve"> </w:t>
      </w:r>
      <w:r w:rsidRPr="009520B5">
        <w:rPr>
          <w:rFonts w:ascii="Arial" w:hAnsi="Arial" w:cs="Arial"/>
          <w:sz w:val="20"/>
          <w:szCs w:val="20"/>
        </w:rPr>
        <w:t xml:space="preserve"> Gabapentin is FDA-approved for post-herpetic neuralgia, and adjunctive therapy in the treatment of partial onset of seizures, while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is approved for diabetic peripheral neuropathy, post-herpetic neuralgia, fibromyalgia, and neuropathic pain associated with spinal cord injury, as well as an adjunctive therapy for adult patients with partial onset seizures.  </w:t>
      </w:r>
      <w:r>
        <w:rPr>
          <w:rFonts w:ascii="Arial" w:hAnsi="Arial" w:cs="Arial"/>
          <w:sz w:val="20"/>
          <w:szCs w:val="20"/>
        </w:rPr>
        <w:t xml:space="preserve">Research </w:t>
      </w:r>
      <w:r w:rsidRPr="009520B5">
        <w:rPr>
          <w:rFonts w:ascii="Arial" w:hAnsi="Arial" w:cs="Arial"/>
          <w:sz w:val="20"/>
          <w:szCs w:val="20"/>
        </w:rPr>
        <w:t>suggest</w:t>
      </w:r>
      <w:r>
        <w:rPr>
          <w:rFonts w:ascii="Arial" w:hAnsi="Arial" w:cs="Arial"/>
          <w:sz w:val="20"/>
          <w:szCs w:val="20"/>
        </w:rPr>
        <w:t>s</w:t>
      </w:r>
      <w:r w:rsidRPr="009520B5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>number need to treat (</w:t>
      </w:r>
      <w:r w:rsidRPr="009520B5">
        <w:rPr>
          <w:rFonts w:ascii="Arial" w:hAnsi="Arial" w:cs="Arial"/>
          <w:sz w:val="20"/>
          <w:szCs w:val="20"/>
        </w:rPr>
        <w:t>NNT</w:t>
      </w:r>
      <w:r>
        <w:rPr>
          <w:rFonts w:ascii="Arial" w:hAnsi="Arial" w:cs="Arial"/>
          <w:sz w:val="20"/>
          <w:szCs w:val="20"/>
        </w:rPr>
        <w:t>; i.e. the number of patients needed to be treated in order for one patient to benefit)</w:t>
      </w:r>
      <w:r w:rsidRPr="009520B5">
        <w:rPr>
          <w:rFonts w:ascii="Arial" w:hAnsi="Arial" w:cs="Arial"/>
          <w:sz w:val="20"/>
          <w:szCs w:val="20"/>
        </w:rPr>
        <w:t xml:space="preserve"> in diabetic neuropathy for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is 4 (for a 50% reduction at 600</w:t>
      </w:r>
      <w:r>
        <w:rPr>
          <w:rFonts w:ascii="Arial" w:hAnsi="Arial" w:cs="Arial"/>
          <w:sz w:val="20"/>
          <w:szCs w:val="20"/>
        </w:rPr>
        <w:t xml:space="preserve"> </w:t>
      </w:r>
      <w:r w:rsidRPr="009520B5">
        <w:rPr>
          <w:rFonts w:ascii="Arial" w:hAnsi="Arial" w:cs="Arial"/>
          <w:sz w:val="20"/>
          <w:szCs w:val="20"/>
        </w:rPr>
        <w:t>mg/day); while gabapentin had only a small effect on pain reduction (therefore the NNT was not reported)</w:t>
      </w:r>
      <w:r>
        <w:rPr>
          <w:rFonts w:ascii="Arial" w:hAnsi="Arial" w:cs="Arial"/>
          <w:sz w:val="20"/>
          <w:szCs w:val="20"/>
        </w:rPr>
        <w:t xml:space="preserve"> (7)</w:t>
      </w:r>
      <w:r w:rsidRPr="009520B5">
        <w:rPr>
          <w:rFonts w:ascii="Arial" w:hAnsi="Arial" w:cs="Arial"/>
          <w:sz w:val="20"/>
          <w:szCs w:val="20"/>
        </w:rPr>
        <w:t xml:space="preserve">.  Although gabapentin is frequently given to patients with chemotherapy-induced peripheral neuropathy, few controlled trials have been conducted and investigations have shown conflicting results. There has been only one study comparing the efficacy of gabapentin and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in neuropathic cancer pain. In this double-blind, randomized, placebo-controlled trial</w:t>
      </w:r>
      <w:r>
        <w:rPr>
          <w:rFonts w:ascii="Arial" w:hAnsi="Arial" w:cs="Arial"/>
          <w:sz w:val="20"/>
          <w:szCs w:val="20"/>
        </w:rPr>
        <w:t xml:space="preserve">, </w:t>
      </w:r>
      <w:r w:rsidRPr="009520B5">
        <w:rPr>
          <w:rFonts w:ascii="Arial" w:hAnsi="Arial" w:cs="Arial"/>
          <w:sz w:val="20"/>
          <w:szCs w:val="20"/>
        </w:rPr>
        <w:t xml:space="preserve">patients were given amitriptyline, gabapentin,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, or placebo. There were statistically lower VAS scores in the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group when compared to the others. The authors also noted a statistically and clinically significant morphine-sparing effect of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as well</w:t>
      </w:r>
      <w:r>
        <w:rPr>
          <w:rFonts w:ascii="Arial" w:hAnsi="Arial" w:cs="Arial"/>
          <w:sz w:val="20"/>
          <w:szCs w:val="20"/>
        </w:rPr>
        <w:t xml:space="preserve"> (8)</w:t>
      </w:r>
      <w:r w:rsidRPr="009520B5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>This single, mid-quality trial has not been replicated</w:t>
      </w:r>
    </w:p>
    <w:p w:rsidR="001E6EDA" w:rsidRDefault="001E6EDA" w:rsidP="001E6E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E6EDA" w:rsidRPr="001E6EDA" w:rsidRDefault="001E6EDA" w:rsidP="001E6E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520B5">
        <w:rPr>
          <w:rFonts w:ascii="Arial" w:hAnsi="Arial" w:cs="Arial"/>
          <w:b/>
          <w:sz w:val="20"/>
          <w:szCs w:val="20"/>
        </w:rPr>
        <w:t>Cost</w:t>
      </w:r>
      <w:r>
        <w:rPr>
          <w:rFonts w:ascii="Arial" w:hAnsi="Arial" w:cs="Arial"/>
          <w:sz w:val="20"/>
          <w:szCs w:val="20"/>
        </w:rPr>
        <w:t xml:space="preserve">     </w:t>
      </w:r>
      <w:proofErr w:type="spellStart"/>
      <w:r w:rsidRPr="009520B5">
        <w:rPr>
          <w:rFonts w:ascii="Arial" w:hAnsi="Arial" w:cs="Arial"/>
          <w:sz w:val="20"/>
          <w:szCs w:val="20"/>
        </w:rPr>
        <w:t>Pregabalin</w:t>
      </w:r>
      <w:proofErr w:type="spellEnd"/>
      <w:r w:rsidRPr="009520B5">
        <w:rPr>
          <w:rFonts w:ascii="Arial" w:hAnsi="Arial" w:cs="Arial"/>
          <w:sz w:val="20"/>
          <w:szCs w:val="20"/>
        </w:rPr>
        <w:t xml:space="preserve"> is approximately three times more expensive than gabapentin</w:t>
      </w:r>
      <w:r>
        <w:rPr>
          <w:rFonts w:ascii="Arial" w:hAnsi="Arial" w:cs="Arial"/>
          <w:sz w:val="20"/>
          <w:szCs w:val="20"/>
        </w:rPr>
        <w:t>, which is available as a generic.</w:t>
      </w:r>
      <w:r w:rsidRPr="009520B5">
        <w:rPr>
          <w:rFonts w:ascii="Arial" w:hAnsi="Arial" w:cs="Arial"/>
          <w:sz w:val="20"/>
          <w:szCs w:val="20"/>
        </w:rPr>
        <w:br/>
      </w:r>
      <w:r w:rsidRPr="009520B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Summary   </w:t>
      </w:r>
      <w:r w:rsidRPr="009520B5"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Pregabalin</w:t>
      </w:r>
      <w:proofErr w:type="spellEnd"/>
      <w:r>
        <w:rPr>
          <w:rFonts w:ascii="Arial" w:hAnsi="Arial" w:cs="Arial"/>
          <w:sz w:val="20"/>
          <w:szCs w:val="20"/>
        </w:rPr>
        <w:t xml:space="preserve"> has some pharmacokinetic advantages over gabapentin, but is much more </w:t>
      </w:r>
      <w:r w:rsidRPr="001E6EDA">
        <w:rPr>
          <w:rFonts w:ascii="Arial" w:hAnsi="Arial" w:cs="Arial"/>
          <w:sz w:val="20"/>
          <w:szCs w:val="20"/>
        </w:rPr>
        <w:t xml:space="preserve">costly. There are no clear data demonstrating improved clinical outcomes of one agent over the other. </w:t>
      </w:r>
      <w:r w:rsidRPr="001E6EDA">
        <w:rPr>
          <w:rFonts w:ascii="Arial" w:hAnsi="Arial" w:cs="Arial"/>
          <w:sz w:val="20"/>
          <w:szCs w:val="20"/>
        </w:rPr>
        <w:br/>
      </w:r>
    </w:p>
    <w:p w:rsidR="00D60CCE" w:rsidRPr="001E6EDA" w:rsidRDefault="001E6EDA">
      <w:pPr>
        <w:rPr>
          <w:rFonts w:ascii="Arial" w:hAnsi="Arial" w:cs="Arial"/>
          <w:b/>
          <w:sz w:val="20"/>
          <w:szCs w:val="20"/>
        </w:rPr>
      </w:pPr>
      <w:r w:rsidRPr="001E6EDA">
        <w:rPr>
          <w:rFonts w:ascii="Arial" w:hAnsi="Arial" w:cs="Arial"/>
          <w:b/>
          <w:sz w:val="20"/>
          <w:szCs w:val="20"/>
        </w:rPr>
        <w:t>References</w:t>
      </w:r>
    </w:p>
    <w:p w:rsidR="001E6EDA" w:rsidRPr="001E6EDA" w:rsidRDefault="001E6EDA" w:rsidP="001E6E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1E6EDA">
        <w:rPr>
          <w:rFonts w:ascii="Arial" w:hAnsi="Arial" w:cs="Arial"/>
          <w:sz w:val="20"/>
          <w:szCs w:val="20"/>
        </w:rPr>
        <w:t>Twycross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R, Wilcock A, </w:t>
      </w:r>
      <w:proofErr w:type="spellStart"/>
      <w:r w:rsidRPr="001E6EDA">
        <w:rPr>
          <w:rFonts w:ascii="Arial" w:hAnsi="Arial" w:cs="Arial"/>
          <w:sz w:val="20"/>
          <w:szCs w:val="20"/>
        </w:rPr>
        <w:t>Charlesworth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S, et al. </w:t>
      </w:r>
      <w:r w:rsidRPr="001E6EDA">
        <w:rPr>
          <w:rFonts w:ascii="Arial" w:hAnsi="Arial" w:cs="Arial"/>
          <w:bCs/>
          <w:sz w:val="20"/>
          <w:szCs w:val="20"/>
        </w:rPr>
        <w:t xml:space="preserve">Palliativedrugs.com therapeutic highlights: gabapentin. Indian J </w:t>
      </w:r>
      <w:proofErr w:type="spellStart"/>
      <w:r w:rsidRPr="001E6EDA">
        <w:rPr>
          <w:rFonts w:ascii="Arial" w:hAnsi="Arial" w:cs="Arial"/>
          <w:bCs/>
          <w:sz w:val="20"/>
          <w:szCs w:val="20"/>
        </w:rPr>
        <w:t>Palliat</w:t>
      </w:r>
      <w:proofErr w:type="spellEnd"/>
      <w:r w:rsidRPr="001E6EDA">
        <w:rPr>
          <w:rFonts w:ascii="Arial" w:hAnsi="Arial" w:cs="Arial"/>
          <w:bCs/>
          <w:sz w:val="20"/>
          <w:szCs w:val="20"/>
        </w:rPr>
        <w:t xml:space="preserve"> Care. 2003</w:t>
      </w:r>
      <w:proofErr w:type="gramStart"/>
      <w:r w:rsidRPr="001E6EDA">
        <w:rPr>
          <w:rFonts w:ascii="Arial" w:hAnsi="Arial" w:cs="Arial"/>
          <w:bCs/>
          <w:sz w:val="20"/>
          <w:szCs w:val="20"/>
        </w:rPr>
        <w:t>;9</w:t>
      </w:r>
      <w:proofErr w:type="gramEnd"/>
      <w:r w:rsidRPr="001E6EDA">
        <w:rPr>
          <w:rFonts w:ascii="Arial" w:hAnsi="Arial" w:cs="Arial"/>
          <w:bCs/>
          <w:sz w:val="20"/>
          <w:szCs w:val="20"/>
        </w:rPr>
        <w:t>(2):71-74.</w:t>
      </w:r>
    </w:p>
    <w:p w:rsidR="001E6EDA" w:rsidRPr="001E6EDA" w:rsidRDefault="001E6EDA" w:rsidP="001E6E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1E6EDA">
        <w:rPr>
          <w:rFonts w:ascii="Arial" w:hAnsi="Arial" w:cs="Arial"/>
          <w:sz w:val="20"/>
          <w:szCs w:val="20"/>
        </w:rPr>
        <w:lastRenderedPageBreak/>
        <w:t>Bockbrader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HN, </w:t>
      </w:r>
      <w:hyperlink r:id="rId8" w:history="1">
        <w:proofErr w:type="spellStart"/>
        <w:r w:rsidRPr="001E6EDA">
          <w:rPr>
            <w:rFonts w:ascii="Arial" w:hAnsi="Arial" w:cs="Arial"/>
            <w:sz w:val="20"/>
            <w:szCs w:val="20"/>
          </w:rPr>
          <w:t>Wesche</w:t>
        </w:r>
        <w:proofErr w:type="spellEnd"/>
        <w:r w:rsidRPr="001E6EDA">
          <w:rPr>
            <w:rFonts w:ascii="Arial" w:hAnsi="Arial" w:cs="Arial"/>
            <w:sz w:val="20"/>
            <w:szCs w:val="20"/>
          </w:rPr>
          <w:t xml:space="preserve"> D</w:t>
        </w:r>
      </w:hyperlink>
      <w:r w:rsidRPr="001E6EDA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Pr="001E6EDA">
          <w:rPr>
            <w:rFonts w:ascii="Arial" w:hAnsi="Arial" w:cs="Arial"/>
            <w:sz w:val="20"/>
            <w:szCs w:val="20"/>
          </w:rPr>
          <w:t>Miller R</w:t>
        </w:r>
      </w:hyperlink>
      <w:r w:rsidRPr="001E6EDA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Pr="001E6EDA">
          <w:rPr>
            <w:rFonts w:ascii="Arial" w:hAnsi="Arial" w:cs="Arial"/>
            <w:sz w:val="20"/>
            <w:szCs w:val="20"/>
          </w:rPr>
          <w:t>Chapel S</w:t>
        </w:r>
      </w:hyperlink>
      <w:r w:rsidRPr="001E6EDA">
        <w:rPr>
          <w:rFonts w:ascii="Arial" w:hAnsi="Arial" w:cs="Arial"/>
          <w:sz w:val="20"/>
          <w:szCs w:val="20"/>
        </w:rPr>
        <w:t xml:space="preserve">, </w:t>
      </w:r>
      <w:hyperlink r:id="rId11" w:history="1">
        <w:proofErr w:type="spellStart"/>
        <w:r w:rsidRPr="001E6EDA">
          <w:rPr>
            <w:rFonts w:ascii="Arial" w:hAnsi="Arial" w:cs="Arial"/>
            <w:sz w:val="20"/>
            <w:szCs w:val="20"/>
          </w:rPr>
          <w:t>Janiczek</w:t>
        </w:r>
        <w:proofErr w:type="spellEnd"/>
        <w:r w:rsidRPr="001E6EDA">
          <w:rPr>
            <w:rFonts w:ascii="Arial" w:hAnsi="Arial" w:cs="Arial"/>
            <w:sz w:val="20"/>
            <w:szCs w:val="20"/>
          </w:rPr>
          <w:t xml:space="preserve"> N</w:t>
        </w:r>
      </w:hyperlink>
      <w:r w:rsidRPr="001E6EDA">
        <w:rPr>
          <w:rFonts w:ascii="Arial" w:hAnsi="Arial" w:cs="Arial"/>
          <w:sz w:val="20"/>
          <w:szCs w:val="20"/>
        </w:rPr>
        <w:t xml:space="preserve">, </w:t>
      </w:r>
      <w:hyperlink r:id="rId12" w:history="1">
        <w:r w:rsidRPr="001E6EDA">
          <w:rPr>
            <w:rFonts w:ascii="Arial" w:hAnsi="Arial" w:cs="Arial"/>
            <w:sz w:val="20"/>
            <w:szCs w:val="20"/>
          </w:rPr>
          <w:t>Burger P</w:t>
        </w:r>
      </w:hyperlink>
      <w:r w:rsidRPr="001E6EDA">
        <w:rPr>
          <w:rFonts w:ascii="Arial" w:hAnsi="Arial" w:cs="Arial"/>
          <w:sz w:val="20"/>
          <w:szCs w:val="20"/>
        </w:rPr>
        <w:t xml:space="preserve">. A comparison of the pharmacokinetics and pharmacodynamics of </w:t>
      </w:r>
      <w:proofErr w:type="spellStart"/>
      <w:r w:rsidRPr="001E6EDA">
        <w:rPr>
          <w:rFonts w:ascii="Arial" w:hAnsi="Arial" w:cs="Arial"/>
          <w:sz w:val="20"/>
          <w:szCs w:val="20"/>
        </w:rPr>
        <w:t>pregabalin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and gabapentin. </w:t>
      </w:r>
      <w:proofErr w:type="spellStart"/>
      <w:r w:rsidRPr="001E6EDA">
        <w:rPr>
          <w:rFonts w:ascii="Arial" w:hAnsi="Arial" w:cs="Arial"/>
          <w:sz w:val="20"/>
          <w:szCs w:val="20"/>
        </w:rPr>
        <w:t>Clin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6EDA">
        <w:rPr>
          <w:rFonts w:ascii="Arial" w:hAnsi="Arial" w:cs="Arial"/>
          <w:sz w:val="20"/>
          <w:szCs w:val="20"/>
        </w:rPr>
        <w:t>Pharmacokinet</w:t>
      </w:r>
      <w:proofErr w:type="spellEnd"/>
      <w:r w:rsidRPr="001E6EDA">
        <w:rPr>
          <w:rFonts w:ascii="Arial" w:hAnsi="Arial" w:cs="Arial"/>
          <w:sz w:val="20"/>
          <w:szCs w:val="20"/>
        </w:rPr>
        <w:t>. 2010 Oct</w:t>
      </w:r>
      <w:proofErr w:type="gramStart"/>
      <w:r w:rsidRPr="001E6EDA">
        <w:rPr>
          <w:rFonts w:ascii="Arial" w:hAnsi="Arial" w:cs="Arial"/>
          <w:sz w:val="20"/>
          <w:szCs w:val="20"/>
        </w:rPr>
        <w:t>;49</w:t>
      </w:r>
      <w:proofErr w:type="gramEnd"/>
      <w:r w:rsidRPr="001E6EDA">
        <w:rPr>
          <w:rFonts w:ascii="Arial" w:hAnsi="Arial" w:cs="Arial"/>
          <w:sz w:val="20"/>
          <w:szCs w:val="20"/>
        </w:rPr>
        <w:t>(10):661-9.</w:t>
      </w:r>
    </w:p>
    <w:p w:rsidR="001E6EDA" w:rsidRPr="001E6EDA" w:rsidRDefault="001E6EDA" w:rsidP="001E6E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1E6EDA">
        <w:rPr>
          <w:rFonts w:ascii="Arial" w:hAnsi="Arial" w:cs="Arial"/>
          <w:sz w:val="20"/>
          <w:szCs w:val="20"/>
        </w:rPr>
        <w:t>McCaffery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1E6EDA">
        <w:rPr>
          <w:rFonts w:ascii="Arial" w:hAnsi="Arial" w:cs="Arial"/>
          <w:sz w:val="20"/>
          <w:szCs w:val="20"/>
        </w:rPr>
        <w:t>Pasero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C, editors. Pain: clinical manual. 2</w:t>
      </w:r>
      <w:r w:rsidRPr="001E6EDA">
        <w:rPr>
          <w:rFonts w:ascii="Arial" w:hAnsi="Arial" w:cs="Arial"/>
          <w:sz w:val="20"/>
          <w:szCs w:val="20"/>
          <w:vertAlign w:val="superscript"/>
        </w:rPr>
        <w:t>nd</w:t>
      </w:r>
      <w:r w:rsidRPr="001E6EDA">
        <w:rPr>
          <w:rFonts w:ascii="Arial" w:hAnsi="Arial" w:cs="Arial"/>
          <w:sz w:val="20"/>
          <w:szCs w:val="20"/>
        </w:rPr>
        <w:t xml:space="preserve"> ed. St Louis, (MO): Mosby; 1999.</w:t>
      </w:r>
    </w:p>
    <w:p w:rsidR="001E6EDA" w:rsidRPr="001E6EDA" w:rsidRDefault="001E6EDA" w:rsidP="001E6E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1E6EDA">
        <w:rPr>
          <w:rFonts w:ascii="Arial" w:eastAsia="Times New Roman" w:hAnsi="Arial" w:cs="Arial"/>
          <w:sz w:val="20"/>
          <w:szCs w:val="20"/>
        </w:rPr>
        <w:t>Backonja</w:t>
      </w:r>
      <w:proofErr w:type="spellEnd"/>
      <w:r w:rsidRPr="001E6EDA">
        <w:rPr>
          <w:rFonts w:ascii="Arial" w:eastAsia="Times New Roman" w:hAnsi="Arial" w:cs="Arial"/>
          <w:sz w:val="20"/>
          <w:szCs w:val="20"/>
        </w:rPr>
        <w:t xml:space="preserve"> MM, Serra J. </w:t>
      </w:r>
      <w:r w:rsidRPr="001E6EDA">
        <w:rPr>
          <w:rFonts w:ascii="Arial" w:hAnsi="Arial" w:cs="Arial"/>
          <w:sz w:val="20"/>
          <w:szCs w:val="20"/>
        </w:rPr>
        <w:t xml:space="preserve">Pharmacologic management part 1: better-studied neuropathic pain diseases. </w:t>
      </w:r>
      <w:r w:rsidRPr="001E6EDA">
        <w:rPr>
          <w:rFonts w:ascii="Arial" w:eastAsia="Times New Roman" w:hAnsi="Arial" w:cs="Arial"/>
          <w:sz w:val="20"/>
          <w:szCs w:val="20"/>
        </w:rPr>
        <w:t>Pain Med. 2004 Mar</w:t>
      </w:r>
      <w:proofErr w:type="gramStart"/>
      <w:r w:rsidRPr="001E6EDA">
        <w:rPr>
          <w:rFonts w:ascii="Arial" w:eastAsia="Times New Roman" w:hAnsi="Arial" w:cs="Arial"/>
          <w:sz w:val="20"/>
          <w:szCs w:val="20"/>
        </w:rPr>
        <w:t>;5</w:t>
      </w:r>
      <w:proofErr w:type="gramEnd"/>
      <w:r w:rsidRPr="001E6E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E6EDA">
        <w:rPr>
          <w:rFonts w:ascii="Arial" w:eastAsia="Times New Roman" w:hAnsi="Arial" w:cs="Arial"/>
          <w:sz w:val="20"/>
          <w:szCs w:val="20"/>
        </w:rPr>
        <w:t>Suppl</w:t>
      </w:r>
      <w:proofErr w:type="spellEnd"/>
      <w:r w:rsidRPr="001E6EDA">
        <w:rPr>
          <w:rFonts w:ascii="Arial" w:eastAsia="Times New Roman" w:hAnsi="Arial" w:cs="Arial"/>
          <w:sz w:val="20"/>
          <w:szCs w:val="20"/>
        </w:rPr>
        <w:t xml:space="preserve"> 1:S28-47.</w:t>
      </w:r>
    </w:p>
    <w:p w:rsidR="001E6EDA" w:rsidRPr="001E6EDA" w:rsidRDefault="001E6EDA" w:rsidP="001E6E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6EDA">
        <w:rPr>
          <w:rFonts w:ascii="Arial" w:eastAsia="Times New Roman" w:hAnsi="Arial" w:cs="Arial"/>
          <w:sz w:val="20"/>
          <w:szCs w:val="20"/>
        </w:rPr>
        <w:t xml:space="preserve">Farrar JT, </w:t>
      </w:r>
      <w:hyperlink r:id="rId13" w:history="1">
        <w:proofErr w:type="spellStart"/>
        <w:r w:rsidRPr="001E6EDA">
          <w:rPr>
            <w:rFonts w:ascii="Arial" w:eastAsia="Times New Roman" w:hAnsi="Arial" w:cs="Arial"/>
            <w:sz w:val="20"/>
            <w:szCs w:val="20"/>
          </w:rPr>
          <w:t>Portenoy</w:t>
        </w:r>
        <w:proofErr w:type="spellEnd"/>
        <w:r w:rsidRPr="001E6EDA">
          <w:rPr>
            <w:rFonts w:ascii="Arial" w:eastAsia="Times New Roman" w:hAnsi="Arial" w:cs="Arial"/>
            <w:sz w:val="20"/>
            <w:szCs w:val="20"/>
          </w:rPr>
          <w:t xml:space="preserve"> RK</w:t>
        </w:r>
      </w:hyperlink>
      <w:r w:rsidRPr="001E6EDA">
        <w:rPr>
          <w:rFonts w:ascii="Arial" w:eastAsia="Times New Roman" w:hAnsi="Arial" w:cs="Arial"/>
          <w:sz w:val="20"/>
          <w:szCs w:val="20"/>
        </w:rPr>
        <w:t>.</w:t>
      </w:r>
      <w:r w:rsidRPr="001E6EDA">
        <w:rPr>
          <w:rFonts w:ascii="Arial" w:hAnsi="Arial" w:cs="Arial"/>
          <w:sz w:val="20"/>
          <w:szCs w:val="20"/>
        </w:rPr>
        <w:t xml:space="preserve"> </w:t>
      </w:r>
      <w:r w:rsidRPr="001E6EDA">
        <w:rPr>
          <w:rStyle w:val="highlight2"/>
          <w:rFonts w:ascii="Arial" w:hAnsi="Arial" w:cs="Arial"/>
          <w:sz w:val="20"/>
          <w:szCs w:val="20"/>
        </w:rPr>
        <w:t>Neuropathic</w:t>
      </w:r>
      <w:r w:rsidRPr="001E6EDA">
        <w:rPr>
          <w:rFonts w:ascii="Arial" w:hAnsi="Arial" w:cs="Arial"/>
          <w:sz w:val="20"/>
          <w:szCs w:val="20"/>
        </w:rPr>
        <w:t xml:space="preserve"> </w:t>
      </w:r>
      <w:r w:rsidRPr="001E6EDA">
        <w:rPr>
          <w:rStyle w:val="highlight2"/>
          <w:rFonts w:ascii="Arial" w:hAnsi="Arial" w:cs="Arial"/>
          <w:sz w:val="20"/>
          <w:szCs w:val="20"/>
        </w:rPr>
        <w:t>cancer</w:t>
      </w:r>
      <w:r w:rsidRPr="001E6EDA">
        <w:rPr>
          <w:rFonts w:ascii="Arial" w:hAnsi="Arial" w:cs="Arial"/>
          <w:sz w:val="20"/>
          <w:szCs w:val="20"/>
        </w:rPr>
        <w:t xml:space="preserve"> </w:t>
      </w:r>
      <w:r w:rsidRPr="001E6EDA">
        <w:rPr>
          <w:rStyle w:val="highlight2"/>
          <w:rFonts w:ascii="Arial" w:hAnsi="Arial" w:cs="Arial"/>
          <w:sz w:val="20"/>
          <w:szCs w:val="20"/>
        </w:rPr>
        <w:t>pain</w:t>
      </w:r>
      <w:r w:rsidRPr="001E6EDA">
        <w:rPr>
          <w:rFonts w:ascii="Arial" w:hAnsi="Arial" w:cs="Arial"/>
          <w:sz w:val="20"/>
          <w:szCs w:val="20"/>
        </w:rPr>
        <w:t xml:space="preserve">: the </w:t>
      </w:r>
      <w:r w:rsidRPr="001E6EDA">
        <w:rPr>
          <w:rStyle w:val="highlight2"/>
          <w:rFonts w:ascii="Arial" w:hAnsi="Arial" w:cs="Arial"/>
          <w:sz w:val="20"/>
          <w:szCs w:val="20"/>
        </w:rPr>
        <w:t>role</w:t>
      </w:r>
      <w:r w:rsidRPr="001E6EDA">
        <w:rPr>
          <w:rFonts w:ascii="Arial" w:hAnsi="Arial" w:cs="Arial"/>
          <w:sz w:val="20"/>
          <w:szCs w:val="20"/>
        </w:rPr>
        <w:t xml:space="preserve"> of </w:t>
      </w:r>
      <w:r w:rsidRPr="001E6EDA">
        <w:rPr>
          <w:rStyle w:val="highlight2"/>
          <w:rFonts w:ascii="Arial" w:hAnsi="Arial" w:cs="Arial"/>
          <w:sz w:val="20"/>
          <w:szCs w:val="20"/>
        </w:rPr>
        <w:t>adjuvant</w:t>
      </w:r>
      <w:r w:rsidRPr="001E6EDA">
        <w:rPr>
          <w:rFonts w:ascii="Arial" w:hAnsi="Arial" w:cs="Arial"/>
          <w:sz w:val="20"/>
          <w:szCs w:val="20"/>
        </w:rPr>
        <w:t xml:space="preserve"> </w:t>
      </w:r>
      <w:r w:rsidRPr="001E6EDA">
        <w:rPr>
          <w:rStyle w:val="highlight2"/>
          <w:rFonts w:ascii="Arial" w:hAnsi="Arial" w:cs="Arial"/>
          <w:sz w:val="20"/>
          <w:szCs w:val="20"/>
        </w:rPr>
        <w:t>analgesics</w:t>
      </w:r>
      <w:r w:rsidRPr="001E6EDA">
        <w:rPr>
          <w:rFonts w:ascii="Arial" w:hAnsi="Arial" w:cs="Arial"/>
          <w:sz w:val="20"/>
          <w:szCs w:val="20"/>
        </w:rPr>
        <w:t xml:space="preserve">. </w:t>
      </w:r>
      <w:r w:rsidRPr="001E6EDA">
        <w:rPr>
          <w:rFonts w:ascii="Arial" w:eastAsia="Times New Roman" w:hAnsi="Arial" w:cs="Arial"/>
          <w:sz w:val="20"/>
          <w:szCs w:val="20"/>
        </w:rPr>
        <w:t>Oncology (Williston Park). 2001 Nov</w:t>
      </w:r>
      <w:proofErr w:type="gramStart"/>
      <w:r w:rsidRPr="001E6EDA">
        <w:rPr>
          <w:rFonts w:ascii="Arial" w:eastAsia="Times New Roman" w:hAnsi="Arial" w:cs="Arial"/>
          <w:sz w:val="20"/>
          <w:szCs w:val="20"/>
        </w:rPr>
        <w:t>;15</w:t>
      </w:r>
      <w:proofErr w:type="gramEnd"/>
      <w:r w:rsidRPr="001E6EDA">
        <w:rPr>
          <w:rFonts w:ascii="Arial" w:eastAsia="Times New Roman" w:hAnsi="Arial" w:cs="Arial"/>
          <w:sz w:val="20"/>
          <w:szCs w:val="20"/>
        </w:rPr>
        <w:t>(11):1435-42, 1445; discussion 1445, 1450-3.</w:t>
      </w:r>
    </w:p>
    <w:p w:rsidR="001E6EDA" w:rsidRPr="001E6EDA" w:rsidRDefault="001E6EDA" w:rsidP="001E6E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1E6EDA">
        <w:rPr>
          <w:rFonts w:ascii="Arial" w:hAnsi="Arial" w:cs="Arial"/>
          <w:sz w:val="20"/>
          <w:szCs w:val="20"/>
        </w:rPr>
        <w:t>Pasero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C, </w:t>
      </w:r>
      <w:proofErr w:type="spellStart"/>
      <w:r w:rsidRPr="001E6EDA">
        <w:rPr>
          <w:rFonts w:ascii="Arial" w:hAnsi="Arial" w:cs="Arial"/>
          <w:sz w:val="20"/>
          <w:szCs w:val="20"/>
        </w:rPr>
        <w:t>McCaffery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M. Pain assessment and pharmacological management 1e. St Louis, MO: Mosby; 1991.</w:t>
      </w:r>
    </w:p>
    <w:p w:rsidR="001E6EDA" w:rsidRPr="001E6EDA" w:rsidRDefault="001E6EDA" w:rsidP="001E6E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1E6EDA">
        <w:rPr>
          <w:rFonts w:ascii="Arial" w:hAnsi="Arial" w:cs="Arial"/>
          <w:sz w:val="20"/>
          <w:szCs w:val="20"/>
        </w:rPr>
        <w:t>Bril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V, England J, Franklin GM, </w:t>
      </w:r>
      <w:proofErr w:type="spellStart"/>
      <w:r w:rsidRPr="001E6EDA">
        <w:rPr>
          <w:rFonts w:ascii="Arial" w:hAnsi="Arial" w:cs="Arial"/>
          <w:sz w:val="20"/>
          <w:szCs w:val="20"/>
        </w:rPr>
        <w:t>Backonja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M, Cohen J, Del Toro D, Feldman E, Iverson DJ, Perkins B, Russell JW, </w:t>
      </w:r>
      <w:hyperlink r:id="rId14" w:history="1">
        <w:proofErr w:type="spellStart"/>
        <w:r w:rsidRPr="001E6EDA">
          <w:rPr>
            <w:rFonts w:ascii="Arial" w:hAnsi="Arial" w:cs="Arial"/>
            <w:sz w:val="20"/>
            <w:szCs w:val="20"/>
          </w:rPr>
          <w:t>Zochodne</w:t>
        </w:r>
        <w:proofErr w:type="spellEnd"/>
        <w:r w:rsidRPr="001E6EDA">
          <w:rPr>
            <w:rFonts w:ascii="Arial" w:hAnsi="Arial" w:cs="Arial"/>
            <w:sz w:val="20"/>
            <w:szCs w:val="20"/>
          </w:rPr>
          <w:t xml:space="preserve"> D</w:t>
        </w:r>
      </w:hyperlink>
      <w:r w:rsidRPr="001E6EDA">
        <w:rPr>
          <w:rFonts w:ascii="Arial" w:hAnsi="Arial" w:cs="Arial"/>
          <w:sz w:val="20"/>
          <w:szCs w:val="20"/>
        </w:rPr>
        <w:t xml:space="preserve">; American Academy of </w:t>
      </w:r>
      <w:r w:rsidRPr="001E6EDA">
        <w:rPr>
          <w:rStyle w:val="highlight2"/>
          <w:rFonts w:ascii="Arial" w:hAnsi="Arial" w:cs="Arial"/>
          <w:sz w:val="20"/>
          <w:szCs w:val="20"/>
        </w:rPr>
        <w:t>Neurology</w:t>
      </w:r>
      <w:r w:rsidRPr="001E6EDA">
        <w:rPr>
          <w:rFonts w:ascii="Arial" w:hAnsi="Arial" w:cs="Arial"/>
          <w:sz w:val="20"/>
          <w:szCs w:val="20"/>
        </w:rPr>
        <w:t xml:space="preserve">; American Association of Neuromuscular and </w:t>
      </w:r>
      <w:proofErr w:type="spellStart"/>
      <w:r w:rsidRPr="001E6EDA">
        <w:rPr>
          <w:rFonts w:ascii="Arial" w:hAnsi="Arial" w:cs="Arial"/>
          <w:sz w:val="20"/>
          <w:szCs w:val="20"/>
        </w:rPr>
        <w:t>Electrodiagnostic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Medicine; American Academy of Physical Medicine and Rehabilitation. Evidence-based guideline: Treatment of painful diabetic neuropathy: report of the American Academy of </w:t>
      </w:r>
      <w:r w:rsidRPr="001E6EDA">
        <w:rPr>
          <w:rStyle w:val="highlight2"/>
          <w:rFonts w:ascii="Arial" w:hAnsi="Arial" w:cs="Arial"/>
          <w:sz w:val="20"/>
          <w:szCs w:val="20"/>
        </w:rPr>
        <w:t>Neurology</w:t>
      </w:r>
      <w:r w:rsidRPr="001E6EDA">
        <w:rPr>
          <w:rFonts w:ascii="Arial" w:hAnsi="Arial" w:cs="Arial"/>
          <w:sz w:val="20"/>
          <w:szCs w:val="20"/>
        </w:rPr>
        <w:t xml:space="preserve">, the American Association of Neuromuscular and </w:t>
      </w:r>
      <w:proofErr w:type="spellStart"/>
      <w:r w:rsidRPr="001E6EDA">
        <w:rPr>
          <w:rFonts w:ascii="Arial" w:hAnsi="Arial" w:cs="Arial"/>
          <w:sz w:val="20"/>
          <w:szCs w:val="20"/>
        </w:rPr>
        <w:t>Electrodiagnostic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Medicine, and the American Academy of Physical Medicine and Rehabilitation. </w:t>
      </w:r>
      <w:r w:rsidRPr="001E6EDA">
        <w:rPr>
          <w:rStyle w:val="highlight2"/>
          <w:rFonts w:ascii="Arial" w:hAnsi="Arial" w:cs="Arial"/>
          <w:sz w:val="20"/>
          <w:szCs w:val="20"/>
        </w:rPr>
        <w:t>Neurology</w:t>
      </w:r>
      <w:r w:rsidRPr="001E6EDA">
        <w:rPr>
          <w:rFonts w:ascii="Arial" w:hAnsi="Arial" w:cs="Arial"/>
          <w:sz w:val="20"/>
          <w:szCs w:val="20"/>
        </w:rPr>
        <w:t>. 2011 May 17;76(</w:t>
      </w:r>
      <w:r w:rsidRPr="001E6EDA">
        <w:rPr>
          <w:rStyle w:val="highlight2"/>
          <w:rFonts w:ascii="Arial" w:hAnsi="Arial" w:cs="Arial"/>
          <w:sz w:val="20"/>
          <w:szCs w:val="20"/>
        </w:rPr>
        <w:t>20</w:t>
      </w:r>
      <w:r w:rsidRPr="001E6EDA">
        <w:rPr>
          <w:rFonts w:ascii="Arial" w:hAnsi="Arial" w:cs="Arial"/>
          <w:sz w:val="20"/>
          <w:szCs w:val="20"/>
        </w:rPr>
        <w:t>):1758-65</w:t>
      </w:r>
    </w:p>
    <w:p w:rsidR="009A3CB5" w:rsidRPr="009A3CB5" w:rsidRDefault="001E6EDA" w:rsidP="009A3CB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6EDA">
        <w:rPr>
          <w:rFonts w:ascii="Arial" w:hAnsi="Arial" w:cs="Arial"/>
          <w:sz w:val="20"/>
          <w:szCs w:val="20"/>
        </w:rPr>
        <w:t xml:space="preserve">Mishra S, </w:t>
      </w:r>
      <w:proofErr w:type="spellStart"/>
      <w:r w:rsidRPr="001E6EDA">
        <w:rPr>
          <w:rFonts w:ascii="Arial" w:hAnsi="Arial" w:cs="Arial"/>
          <w:sz w:val="20"/>
          <w:szCs w:val="20"/>
        </w:rPr>
        <w:t>Bhatnagar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S, </w:t>
      </w:r>
      <w:proofErr w:type="spellStart"/>
      <w:r w:rsidRPr="001E6EDA">
        <w:rPr>
          <w:rFonts w:ascii="Arial" w:hAnsi="Arial" w:cs="Arial"/>
          <w:sz w:val="20"/>
          <w:szCs w:val="20"/>
        </w:rPr>
        <w:t>Goyal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GN, Rana SP, </w:t>
      </w:r>
      <w:proofErr w:type="spellStart"/>
      <w:r w:rsidRPr="001E6EDA">
        <w:rPr>
          <w:rFonts w:ascii="Arial" w:hAnsi="Arial" w:cs="Arial"/>
          <w:sz w:val="20"/>
          <w:szCs w:val="20"/>
        </w:rPr>
        <w:t>Upadhya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SP. A comparative efficacy of amitriptyline, gabapentin, and </w:t>
      </w:r>
      <w:proofErr w:type="spellStart"/>
      <w:r w:rsidRPr="001E6EDA">
        <w:rPr>
          <w:rFonts w:ascii="Arial" w:hAnsi="Arial" w:cs="Arial"/>
          <w:sz w:val="20"/>
          <w:szCs w:val="20"/>
        </w:rPr>
        <w:t>pregabalin</w:t>
      </w:r>
      <w:proofErr w:type="spellEnd"/>
      <w:r w:rsidRPr="001E6EDA">
        <w:rPr>
          <w:rFonts w:ascii="Arial" w:hAnsi="Arial" w:cs="Arial"/>
          <w:sz w:val="20"/>
          <w:szCs w:val="20"/>
        </w:rPr>
        <w:t xml:space="preserve"> in neuropathic cancer pain: a prospective randomized double-blind placebo-controlled study. </w:t>
      </w:r>
      <w:r w:rsidRPr="001E6EDA">
        <w:rPr>
          <w:rStyle w:val="highlight2"/>
          <w:rFonts w:ascii="Arial" w:hAnsi="Arial" w:cs="Arial"/>
          <w:sz w:val="20"/>
          <w:szCs w:val="20"/>
        </w:rPr>
        <w:t xml:space="preserve">Am J </w:t>
      </w:r>
      <w:proofErr w:type="spellStart"/>
      <w:r w:rsidRPr="001E6EDA">
        <w:rPr>
          <w:rStyle w:val="highlight2"/>
          <w:rFonts w:ascii="Arial" w:hAnsi="Arial" w:cs="Arial"/>
          <w:sz w:val="20"/>
          <w:szCs w:val="20"/>
        </w:rPr>
        <w:t>Hosp</w:t>
      </w:r>
      <w:proofErr w:type="spellEnd"/>
      <w:r w:rsidRPr="001E6EDA">
        <w:rPr>
          <w:rStyle w:val="highlight2"/>
          <w:rFonts w:ascii="Arial" w:hAnsi="Arial" w:cs="Arial"/>
          <w:sz w:val="20"/>
          <w:szCs w:val="20"/>
        </w:rPr>
        <w:t xml:space="preserve"> </w:t>
      </w:r>
      <w:proofErr w:type="spellStart"/>
      <w:r w:rsidRPr="001E6EDA">
        <w:rPr>
          <w:rStyle w:val="highlight2"/>
          <w:rFonts w:ascii="Arial" w:hAnsi="Arial" w:cs="Arial"/>
          <w:sz w:val="20"/>
          <w:szCs w:val="20"/>
        </w:rPr>
        <w:t>Palliat</w:t>
      </w:r>
      <w:proofErr w:type="spellEnd"/>
      <w:r w:rsidRPr="001E6EDA">
        <w:rPr>
          <w:rStyle w:val="highlight2"/>
          <w:rFonts w:ascii="Arial" w:hAnsi="Arial" w:cs="Arial"/>
          <w:sz w:val="20"/>
          <w:szCs w:val="20"/>
        </w:rPr>
        <w:t xml:space="preserve"> Care</w:t>
      </w:r>
      <w:r w:rsidRPr="001E6EDA">
        <w:rPr>
          <w:rFonts w:ascii="Arial" w:hAnsi="Arial" w:cs="Arial"/>
          <w:sz w:val="20"/>
          <w:szCs w:val="20"/>
        </w:rPr>
        <w:t xml:space="preserve">. </w:t>
      </w:r>
      <w:r w:rsidRPr="001E6EDA">
        <w:rPr>
          <w:rStyle w:val="highlight2"/>
          <w:rFonts w:ascii="Arial" w:hAnsi="Arial" w:cs="Arial"/>
          <w:sz w:val="20"/>
          <w:szCs w:val="20"/>
        </w:rPr>
        <w:t>2012</w:t>
      </w:r>
      <w:r w:rsidRPr="001E6EDA">
        <w:rPr>
          <w:rFonts w:ascii="Arial" w:hAnsi="Arial" w:cs="Arial"/>
          <w:sz w:val="20"/>
          <w:szCs w:val="20"/>
        </w:rPr>
        <w:t xml:space="preserve"> May</w:t>
      </w:r>
      <w:proofErr w:type="gramStart"/>
      <w:r w:rsidRPr="001E6EDA">
        <w:rPr>
          <w:rFonts w:ascii="Arial" w:hAnsi="Arial" w:cs="Arial"/>
          <w:sz w:val="20"/>
          <w:szCs w:val="20"/>
        </w:rPr>
        <w:t>;</w:t>
      </w:r>
      <w:r w:rsidRPr="001E6EDA">
        <w:rPr>
          <w:rStyle w:val="highlight2"/>
          <w:rFonts w:ascii="Arial" w:hAnsi="Arial" w:cs="Arial"/>
          <w:sz w:val="20"/>
          <w:szCs w:val="20"/>
        </w:rPr>
        <w:t>29</w:t>
      </w:r>
      <w:proofErr w:type="gramEnd"/>
      <w:r w:rsidRPr="001E6EDA">
        <w:rPr>
          <w:rFonts w:ascii="Arial" w:hAnsi="Arial" w:cs="Arial"/>
          <w:sz w:val="20"/>
          <w:szCs w:val="20"/>
        </w:rPr>
        <w:t>(3):</w:t>
      </w:r>
      <w:r w:rsidRPr="001E6EDA">
        <w:rPr>
          <w:rStyle w:val="highlight2"/>
          <w:rFonts w:ascii="Arial" w:hAnsi="Arial" w:cs="Arial"/>
          <w:sz w:val="20"/>
          <w:szCs w:val="20"/>
        </w:rPr>
        <w:t>177-82</w:t>
      </w:r>
      <w:r w:rsidRPr="001E6EDA">
        <w:rPr>
          <w:rFonts w:ascii="Arial" w:hAnsi="Arial" w:cs="Arial"/>
          <w:sz w:val="20"/>
          <w:szCs w:val="20"/>
        </w:rPr>
        <w:t>.</w:t>
      </w:r>
    </w:p>
    <w:p w:rsidR="00310728" w:rsidRPr="00310728" w:rsidRDefault="00310728" w:rsidP="0031072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10728">
        <w:rPr>
          <w:rFonts w:ascii="Arial" w:hAnsi="Arial" w:cs="Arial"/>
          <w:b/>
          <w:sz w:val="20"/>
          <w:szCs w:val="20"/>
        </w:rPr>
        <w:t xml:space="preserve">Authors’ Affiliations: </w:t>
      </w:r>
      <w:r w:rsidRPr="00310728">
        <w:rPr>
          <w:rFonts w:ascii="Arial" w:hAnsi="Arial" w:cs="Arial"/>
          <w:sz w:val="20"/>
          <w:szCs w:val="20"/>
        </w:rPr>
        <w:t xml:space="preserve">University of Pittsburgh Medical Center, Pittsburgh, PA. </w:t>
      </w:r>
      <w:r w:rsidRPr="00310728">
        <w:rPr>
          <w:rFonts w:ascii="Arial" w:hAnsi="Arial" w:cs="Arial"/>
          <w:color w:val="000000"/>
          <w:sz w:val="20"/>
          <w:szCs w:val="20"/>
        </w:rPr>
        <w:t>UPMC Health System, Pittsburgh PA</w:t>
      </w:r>
      <w:r w:rsidRPr="00310728">
        <w:rPr>
          <w:rFonts w:ascii="Arial" w:hAnsi="Arial" w:cs="Arial"/>
          <w:b/>
          <w:sz w:val="20"/>
          <w:szCs w:val="20"/>
        </w:rPr>
        <w:t xml:space="preserve"> </w:t>
      </w:r>
    </w:p>
    <w:p w:rsidR="00310728" w:rsidRPr="00310728" w:rsidRDefault="00310728" w:rsidP="00310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0728">
        <w:rPr>
          <w:rFonts w:ascii="Arial" w:hAnsi="Arial" w:cs="Arial"/>
          <w:b/>
          <w:sz w:val="20"/>
          <w:szCs w:val="20"/>
        </w:rPr>
        <w:t xml:space="preserve">Conflict of Interest: </w:t>
      </w:r>
      <w:r w:rsidRPr="00310728">
        <w:rPr>
          <w:rFonts w:ascii="Arial" w:hAnsi="Arial" w:cs="Arial"/>
          <w:sz w:val="20"/>
          <w:szCs w:val="20"/>
        </w:rPr>
        <w:t>The authors have disclosed no relevant conflicts of interest.</w:t>
      </w:r>
    </w:p>
    <w:p w:rsidR="00310728" w:rsidRPr="00310728" w:rsidRDefault="00310728" w:rsidP="00310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0728">
        <w:rPr>
          <w:rFonts w:ascii="Arial" w:hAnsi="Arial" w:cs="Arial"/>
          <w:b/>
          <w:sz w:val="20"/>
          <w:szCs w:val="20"/>
        </w:rPr>
        <w:t xml:space="preserve">Version History: </w:t>
      </w:r>
      <w:r w:rsidRPr="00310728">
        <w:rPr>
          <w:rFonts w:ascii="Arial" w:hAnsi="Arial" w:cs="Arial"/>
          <w:sz w:val="20"/>
          <w:szCs w:val="20"/>
        </w:rPr>
        <w:t xml:space="preserve">First published </w:t>
      </w:r>
      <w:r>
        <w:rPr>
          <w:rFonts w:ascii="Arial" w:hAnsi="Arial" w:cs="Arial"/>
          <w:sz w:val="20"/>
          <w:szCs w:val="20"/>
        </w:rPr>
        <w:t>April</w:t>
      </w:r>
      <w:r w:rsidRPr="00310728">
        <w:rPr>
          <w:rFonts w:ascii="Arial" w:hAnsi="Arial" w:cs="Arial"/>
          <w:sz w:val="20"/>
          <w:szCs w:val="20"/>
        </w:rPr>
        <w:t xml:space="preserve"> 2015. </w:t>
      </w:r>
    </w:p>
    <w:p w:rsidR="009A3CB5" w:rsidRDefault="009A3CB5" w:rsidP="00C5172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</w:p>
    <w:p w:rsidR="009A3CB5" w:rsidRPr="00511087" w:rsidRDefault="009A3CB5" w:rsidP="009A3CB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A3CB5" w:rsidRPr="00511087" w:rsidRDefault="009A3CB5" w:rsidP="009A3CB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11087">
        <w:rPr>
          <w:rFonts w:ascii="Arial" w:hAnsi="Arial" w:cs="Arial"/>
          <w:b/>
          <w:bCs/>
          <w:i/>
          <w:sz w:val="20"/>
          <w:szCs w:val="20"/>
        </w:rPr>
        <w:t>Fast Facts and Concepts</w:t>
      </w:r>
      <w:r w:rsidRPr="0051108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1087">
        <w:rPr>
          <w:rFonts w:ascii="Arial" w:hAnsi="Arial" w:cs="Arial"/>
          <w:bCs/>
          <w:sz w:val="20"/>
          <w:szCs w:val="20"/>
        </w:rPr>
        <w:t>are edited by Sean Marks MD (Medical College of Wisconsin) and associate editor Drew A Rosielle MD (University of Minnesota Medical School), with the generous support of a volunteer peer-review editorial board, and are made available online by the Center to Advance Palliative Care (</w:t>
      </w:r>
      <w:hyperlink r:id="rId15" w:history="1">
        <w:r w:rsidRPr="00511087">
          <w:rPr>
            <w:rStyle w:val="Hyperlink"/>
            <w:rFonts w:ascii="Arial" w:hAnsi="Arial" w:cs="Arial"/>
            <w:bCs/>
            <w:sz w:val="20"/>
            <w:szCs w:val="20"/>
          </w:rPr>
          <w:t>www.capc.org</w:t>
        </w:r>
      </w:hyperlink>
      <w:r w:rsidRPr="00511087">
        <w:rPr>
          <w:rFonts w:ascii="Arial" w:hAnsi="Arial" w:cs="Arial"/>
          <w:bCs/>
          <w:sz w:val="20"/>
          <w:szCs w:val="20"/>
        </w:rPr>
        <w:t xml:space="preserve">). </w:t>
      </w:r>
      <w:r w:rsidRPr="00511087">
        <w:rPr>
          <w:rFonts w:ascii="Arial" w:hAnsi="Arial" w:cs="Arial"/>
          <w:bCs/>
          <w:i/>
          <w:sz w:val="20"/>
          <w:szCs w:val="20"/>
        </w:rPr>
        <w:t xml:space="preserve">Fast Facts and Concepts </w:t>
      </w:r>
      <w:r w:rsidRPr="00511087">
        <w:rPr>
          <w:rFonts w:ascii="Arial" w:hAnsi="Arial" w:cs="Arial"/>
          <w:bCs/>
          <w:sz w:val="20"/>
          <w:szCs w:val="20"/>
        </w:rPr>
        <w:t xml:space="preserve">are editorially independent of the Center to Advance Palliative Care, and the authors of each individual </w:t>
      </w:r>
      <w:r w:rsidRPr="00511087">
        <w:rPr>
          <w:rFonts w:ascii="Arial" w:hAnsi="Arial" w:cs="Arial"/>
          <w:bCs/>
          <w:i/>
          <w:sz w:val="20"/>
          <w:szCs w:val="20"/>
        </w:rPr>
        <w:t xml:space="preserve">Fast Fact </w:t>
      </w:r>
      <w:r w:rsidRPr="00511087">
        <w:rPr>
          <w:rFonts w:ascii="Arial" w:hAnsi="Arial" w:cs="Arial"/>
          <w:bCs/>
          <w:sz w:val="20"/>
          <w:szCs w:val="20"/>
        </w:rPr>
        <w:t xml:space="preserve">are solely responsible for that </w:t>
      </w:r>
      <w:r w:rsidRPr="00511087">
        <w:rPr>
          <w:rFonts w:ascii="Arial" w:hAnsi="Arial" w:cs="Arial"/>
          <w:bCs/>
          <w:i/>
          <w:sz w:val="20"/>
          <w:szCs w:val="20"/>
        </w:rPr>
        <w:t>Fast Fact’s</w:t>
      </w:r>
      <w:r w:rsidRPr="00511087">
        <w:rPr>
          <w:rFonts w:ascii="Arial" w:hAnsi="Arial" w:cs="Arial"/>
          <w:bCs/>
          <w:sz w:val="20"/>
          <w:szCs w:val="20"/>
        </w:rPr>
        <w:t xml:space="preserve"> content. The full </w:t>
      </w:r>
      <w:proofErr w:type="gramStart"/>
      <w:r w:rsidRPr="00511087">
        <w:rPr>
          <w:rFonts w:ascii="Arial" w:hAnsi="Arial" w:cs="Arial"/>
          <w:bCs/>
          <w:sz w:val="20"/>
          <w:szCs w:val="20"/>
        </w:rPr>
        <w:t xml:space="preserve">set of </w:t>
      </w:r>
      <w:r w:rsidRPr="00511087">
        <w:rPr>
          <w:rFonts w:ascii="Arial" w:hAnsi="Arial" w:cs="Arial"/>
          <w:bCs/>
          <w:i/>
          <w:sz w:val="20"/>
          <w:szCs w:val="20"/>
        </w:rPr>
        <w:t xml:space="preserve">Fast Facts </w:t>
      </w:r>
      <w:r w:rsidRPr="00511087">
        <w:rPr>
          <w:rFonts w:ascii="Arial" w:hAnsi="Arial" w:cs="Arial"/>
          <w:bCs/>
          <w:sz w:val="20"/>
          <w:szCs w:val="20"/>
        </w:rPr>
        <w:t>are</w:t>
      </w:r>
      <w:proofErr w:type="gramEnd"/>
      <w:r w:rsidRPr="00511087">
        <w:rPr>
          <w:rFonts w:ascii="Arial" w:hAnsi="Arial" w:cs="Arial"/>
          <w:bCs/>
          <w:sz w:val="20"/>
          <w:szCs w:val="20"/>
        </w:rPr>
        <w:t xml:space="preserve"> available at </w:t>
      </w:r>
      <w:hyperlink r:id="rId16" w:history="1">
        <w:r w:rsidRPr="00511087">
          <w:rPr>
            <w:rStyle w:val="Hyperlink"/>
            <w:rFonts w:ascii="Arial" w:hAnsi="Arial" w:cs="Arial"/>
            <w:bCs/>
            <w:sz w:val="20"/>
            <w:szCs w:val="20"/>
          </w:rPr>
          <w:t>http://www.capc.org/fast-facts/</w:t>
        </w:r>
      </w:hyperlink>
      <w:r w:rsidRPr="00511087">
        <w:rPr>
          <w:rFonts w:ascii="Arial" w:hAnsi="Arial" w:cs="Arial"/>
          <w:bCs/>
          <w:sz w:val="20"/>
          <w:szCs w:val="20"/>
        </w:rPr>
        <w:t xml:space="preserve"> along with contact information, and how to reference </w:t>
      </w:r>
      <w:r w:rsidRPr="00511087">
        <w:rPr>
          <w:rFonts w:ascii="Arial" w:hAnsi="Arial" w:cs="Arial"/>
          <w:bCs/>
          <w:i/>
          <w:sz w:val="20"/>
          <w:szCs w:val="20"/>
        </w:rPr>
        <w:t>Fast Facts.</w:t>
      </w:r>
    </w:p>
    <w:p w:rsidR="009A3CB5" w:rsidRPr="00511087" w:rsidRDefault="009A3CB5" w:rsidP="009A3CB5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11087">
        <w:rPr>
          <w:rFonts w:ascii="Arial" w:hAnsi="Arial" w:cs="Arial"/>
          <w:b/>
          <w:bCs/>
          <w:sz w:val="20"/>
          <w:szCs w:val="20"/>
        </w:rPr>
        <w:t xml:space="preserve">Copyright: </w:t>
      </w:r>
      <w:r w:rsidRPr="00511087">
        <w:rPr>
          <w:rFonts w:ascii="Arial" w:hAnsi="Arial" w:cs="Arial"/>
          <w:bCs/>
          <w:sz w:val="20"/>
          <w:szCs w:val="20"/>
        </w:rPr>
        <w:t xml:space="preserve"> All </w:t>
      </w:r>
      <w:r w:rsidRPr="00511087">
        <w:rPr>
          <w:rFonts w:ascii="Arial" w:hAnsi="Arial" w:cs="Arial"/>
          <w:bCs/>
          <w:i/>
          <w:sz w:val="20"/>
          <w:szCs w:val="20"/>
        </w:rPr>
        <w:t xml:space="preserve">Fast Facts and Concepts </w:t>
      </w:r>
      <w:r w:rsidRPr="00511087">
        <w:rPr>
          <w:rFonts w:ascii="Arial" w:hAnsi="Arial" w:cs="Arial"/>
          <w:bCs/>
          <w:sz w:val="20"/>
          <w:szCs w:val="20"/>
        </w:rPr>
        <w:t>are published under a Creative Commons Attribution-</w:t>
      </w:r>
      <w:proofErr w:type="spellStart"/>
      <w:r w:rsidRPr="00511087">
        <w:rPr>
          <w:rFonts w:ascii="Arial" w:hAnsi="Arial" w:cs="Arial"/>
          <w:bCs/>
          <w:sz w:val="20"/>
          <w:szCs w:val="20"/>
        </w:rPr>
        <w:t>NonCommercial</w:t>
      </w:r>
      <w:proofErr w:type="spellEnd"/>
      <w:r w:rsidRPr="00511087">
        <w:rPr>
          <w:rFonts w:ascii="Arial" w:hAnsi="Arial" w:cs="Arial"/>
          <w:bCs/>
          <w:sz w:val="20"/>
          <w:szCs w:val="20"/>
        </w:rPr>
        <w:t xml:space="preserve"> 4.0 International Copyright (</w:t>
      </w:r>
      <w:hyperlink r:id="rId17" w:history="1">
        <w:r w:rsidRPr="00511087">
          <w:rPr>
            <w:rStyle w:val="Hyperlink"/>
            <w:rFonts w:ascii="Arial" w:hAnsi="Arial" w:cs="Arial"/>
            <w:bCs/>
            <w:sz w:val="20"/>
            <w:szCs w:val="20"/>
          </w:rPr>
          <w:t>http://creativecommons.org/licenses/by-nc/4.0/</w:t>
        </w:r>
      </w:hyperlink>
      <w:r w:rsidRPr="00511087">
        <w:rPr>
          <w:rFonts w:ascii="Arial" w:hAnsi="Arial" w:cs="Arial"/>
          <w:bCs/>
          <w:sz w:val="20"/>
          <w:szCs w:val="20"/>
        </w:rPr>
        <w:t xml:space="preserve">).  </w:t>
      </w:r>
      <w:r w:rsidRPr="00511087">
        <w:rPr>
          <w:rFonts w:ascii="Arial" w:hAnsi="Arial" w:cs="Arial"/>
          <w:bCs/>
          <w:i/>
          <w:sz w:val="20"/>
          <w:szCs w:val="20"/>
        </w:rPr>
        <w:t xml:space="preserve">Fast Facts </w:t>
      </w:r>
      <w:r w:rsidRPr="00511087">
        <w:rPr>
          <w:rFonts w:ascii="Arial" w:hAnsi="Arial" w:cs="Arial"/>
          <w:bCs/>
          <w:sz w:val="20"/>
          <w:szCs w:val="20"/>
        </w:rPr>
        <w:t xml:space="preserve">can only be copied and distributed for non-commercial, educational purposes. If you adapt or distribute a </w:t>
      </w:r>
      <w:r w:rsidRPr="00511087">
        <w:rPr>
          <w:rFonts w:ascii="Arial" w:hAnsi="Arial" w:cs="Arial"/>
          <w:bCs/>
          <w:i/>
          <w:sz w:val="20"/>
          <w:szCs w:val="20"/>
        </w:rPr>
        <w:t>Fast Fact</w:t>
      </w:r>
      <w:r w:rsidRPr="00511087">
        <w:rPr>
          <w:rFonts w:ascii="Arial" w:hAnsi="Arial" w:cs="Arial"/>
          <w:bCs/>
          <w:sz w:val="20"/>
          <w:szCs w:val="20"/>
        </w:rPr>
        <w:t>, let us know!</w:t>
      </w:r>
    </w:p>
    <w:p w:rsidR="009A3CB5" w:rsidRPr="00511087" w:rsidRDefault="009A3CB5" w:rsidP="009A3CB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11087">
        <w:rPr>
          <w:rFonts w:ascii="Arial" w:hAnsi="Arial" w:cs="Arial"/>
          <w:b/>
          <w:bCs/>
          <w:sz w:val="20"/>
          <w:szCs w:val="20"/>
        </w:rPr>
        <w:t>Disclaimer:</w:t>
      </w:r>
      <w:r w:rsidRPr="00511087">
        <w:rPr>
          <w:rFonts w:ascii="Arial" w:hAnsi="Arial" w:cs="Arial"/>
          <w:bCs/>
          <w:sz w:val="20"/>
          <w:szCs w:val="20"/>
        </w:rPr>
        <w:t xml:space="preserve"> </w:t>
      </w:r>
      <w:r w:rsidRPr="00511087">
        <w:rPr>
          <w:rFonts w:ascii="Arial" w:hAnsi="Arial" w:cs="Arial"/>
          <w:bCs/>
          <w:i/>
          <w:sz w:val="20"/>
          <w:szCs w:val="20"/>
        </w:rPr>
        <w:t>Fast Facts and Concepts</w:t>
      </w:r>
      <w:r w:rsidRPr="00511087">
        <w:rPr>
          <w:rFonts w:ascii="Arial" w:hAnsi="Arial" w:cs="Arial"/>
          <w:bCs/>
          <w:sz w:val="20"/>
          <w:szCs w:val="20"/>
        </w:rPr>
        <w:t xml:space="preserve"> provide educational information for health care professionals. This information is not medical advice. </w:t>
      </w:r>
      <w:r w:rsidRPr="00511087">
        <w:rPr>
          <w:rFonts w:ascii="Arial" w:hAnsi="Arial" w:cs="Arial"/>
          <w:bCs/>
          <w:i/>
          <w:sz w:val="20"/>
          <w:szCs w:val="20"/>
        </w:rPr>
        <w:t xml:space="preserve">Fast Facts </w:t>
      </w:r>
      <w:r w:rsidRPr="00511087">
        <w:rPr>
          <w:rFonts w:ascii="Arial" w:hAnsi="Arial" w:cs="Arial"/>
          <w:bCs/>
          <w:sz w:val="20"/>
          <w:szCs w:val="20"/>
        </w:rPr>
        <w:t xml:space="preserve">are not continually updated, and new safety information may emerge after a </w:t>
      </w:r>
      <w:r w:rsidRPr="00511087">
        <w:rPr>
          <w:rFonts w:ascii="Arial" w:hAnsi="Arial" w:cs="Arial"/>
          <w:bCs/>
          <w:i/>
          <w:sz w:val="20"/>
          <w:szCs w:val="20"/>
        </w:rPr>
        <w:t xml:space="preserve">Fast Fact </w:t>
      </w:r>
      <w:r w:rsidRPr="00511087">
        <w:rPr>
          <w:rFonts w:ascii="Arial" w:hAnsi="Arial" w:cs="Arial"/>
          <w:bCs/>
          <w:sz w:val="20"/>
          <w:szCs w:val="20"/>
        </w:rPr>
        <w:t xml:space="preserve">is published. Health care providers should always exercise their own independent clinical judgment and consult other relevant and up-to-date experts and resources. Some </w:t>
      </w:r>
      <w:r w:rsidRPr="00511087">
        <w:rPr>
          <w:rFonts w:ascii="Arial" w:hAnsi="Arial" w:cs="Arial"/>
          <w:bCs/>
          <w:i/>
          <w:sz w:val="20"/>
          <w:szCs w:val="20"/>
        </w:rPr>
        <w:t>Fast Facts</w:t>
      </w:r>
      <w:r w:rsidRPr="00511087">
        <w:rPr>
          <w:rFonts w:ascii="Arial" w:hAnsi="Arial" w:cs="Arial"/>
          <w:bCs/>
          <w:sz w:val="20"/>
          <w:szCs w:val="20"/>
        </w:rPr>
        <w:t xml:space="preserve"> cite the use of a product in a dosage, for an indication, or in a manner other than that recommended in the product labeling. Accordingly, the official prescribing information should be consulted before any such product is used.</w:t>
      </w:r>
    </w:p>
    <w:p w:rsidR="009A3CB5" w:rsidRPr="009A3CB5" w:rsidRDefault="009A3CB5" w:rsidP="009A3CB5">
      <w:pPr>
        <w:rPr>
          <w:rFonts w:ascii="Arial" w:hAnsi="Arial" w:cs="Arial"/>
          <w:sz w:val="20"/>
          <w:szCs w:val="20"/>
        </w:rPr>
      </w:pPr>
    </w:p>
    <w:sectPr w:rsidR="009A3CB5" w:rsidRPr="009A3CB5" w:rsidSect="00485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D0" w:rsidRDefault="00BD25D0" w:rsidP="001E6EDA">
      <w:pPr>
        <w:spacing w:after="0" w:line="240" w:lineRule="auto"/>
      </w:pPr>
      <w:r>
        <w:separator/>
      </w:r>
    </w:p>
  </w:endnote>
  <w:endnote w:type="continuationSeparator" w:id="0">
    <w:p w:rsidR="00BD25D0" w:rsidRDefault="00BD25D0" w:rsidP="001E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D0" w:rsidRDefault="00BD25D0" w:rsidP="001E6EDA">
      <w:pPr>
        <w:spacing w:after="0" w:line="240" w:lineRule="auto"/>
      </w:pPr>
      <w:r>
        <w:separator/>
      </w:r>
    </w:p>
  </w:footnote>
  <w:footnote w:type="continuationSeparator" w:id="0">
    <w:p w:rsidR="00BD25D0" w:rsidRDefault="00BD25D0" w:rsidP="001E6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550"/>
    <w:multiLevelType w:val="hybridMultilevel"/>
    <w:tmpl w:val="5ADE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DA"/>
    <w:rsid w:val="001E6EDA"/>
    <w:rsid w:val="00310728"/>
    <w:rsid w:val="00485830"/>
    <w:rsid w:val="004F4132"/>
    <w:rsid w:val="005F207D"/>
    <w:rsid w:val="006E6F9E"/>
    <w:rsid w:val="009A3CB5"/>
    <w:rsid w:val="00AC5256"/>
    <w:rsid w:val="00BD25D0"/>
    <w:rsid w:val="00C51723"/>
    <w:rsid w:val="00CF4EA4"/>
    <w:rsid w:val="00D60CCE"/>
    <w:rsid w:val="00D73C0B"/>
    <w:rsid w:val="00F3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DA"/>
  </w:style>
  <w:style w:type="paragraph" w:styleId="Heading1">
    <w:name w:val="heading 1"/>
    <w:basedOn w:val="Normal"/>
    <w:link w:val="Heading1Char"/>
    <w:uiPriority w:val="9"/>
    <w:qFormat/>
    <w:rsid w:val="001E6EDA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EDA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styleId="EndnoteText">
    <w:name w:val="endnote text"/>
    <w:basedOn w:val="Normal"/>
    <w:link w:val="EndnoteTextChar"/>
    <w:uiPriority w:val="99"/>
    <w:unhideWhenUsed/>
    <w:rsid w:val="001E6E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E6E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6EDA"/>
    <w:rPr>
      <w:vertAlign w:val="superscript"/>
    </w:rPr>
  </w:style>
  <w:style w:type="character" w:customStyle="1" w:styleId="highlight2">
    <w:name w:val="highlight2"/>
    <w:basedOn w:val="DefaultParagraphFont"/>
    <w:rsid w:val="001E6EDA"/>
  </w:style>
  <w:style w:type="paragraph" w:styleId="ListParagraph">
    <w:name w:val="List Paragraph"/>
    <w:basedOn w:val="Normal"/>
    <w:uiPriority w:val="34"/>
    <w:qFormat/>
    <w:rsid w:val="001E6E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C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DA"/>
  </w:style>
  <w:style w:type="paragraph" w:styleId="Heading1">
    <w:name w:val="heading 1"/>
    <w:basedOn w:val="Normal"/>
    <w:link w:val="Heading1Char"/>
    <w:uiPriority w:val="9"/>
    <w:qFormat/>
    <w:rsid w:val="001E6EDA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EDA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styleId="EndnoteText">
    <w:name w:val="endnote text"/>
    <w:basedOn w:val="Normal"/>
    <w:link w:val="EndnoteTextChar"/>
    <w:uiPriority w:val="99"/>
    <w:unhideWhenUsed/>
    <w:rsid w:val="001E6E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E6E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6EDA"/>
    <w:rPr>
      <w:vertAlign w:val="superscript"/>
    </w:rPr>
  </w:style>
  <w:style w:type="character" w:customStyle="1" w:styleId="highlight2">
    <w:name w:val="highlight2"/>
    <w:basedOn w:val="DefaultParagraphFont"/>
    <w:rsid w:val="001E6EDA"/>
  </w:style>
  <w:style w:type="paragraph" w:styleId="ListParagraph">
    <w:name w:val="List Paragraph"/>
    <w:basedOn w:val="Normal"/>
    <w:uiPriority w:val="34"/>
    <w:qFormat/>
    <w:rsid w:val="001E6E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?term=Wesche%20D%5BAuthor%5D&amp;cauthor=true&amp;cauthor_uid=20818832" TargetMode="External"/><Relationship Id="rId13" Type="http://schemas.openxmlformats.org/officeDocument/2006/relationships/hyperlink" Target="http://www.ncbi.nlm.nih.gov/pubmed?term=Portenoy%20RK%5BAuthor%5D&amp;cauthor=true&amp;cauthor_uid=1175887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?term=Burger%20P%5BAuthor%5D&amp;cauthor=true&amp;cauthor_uid=20818832" TargetMode="External"/><Relationship Id="rId17" Type="http://schemas.openxmlformats.org/officeDocument/2006/relationships/hyperlink" Target="http://creativecommons.org/licenses/by-nc/4.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pc.org/fast-fact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?term=Janiczek%20N%5BAuthor%5D&amp;cauthor=true&amp;cauthor_uid=208188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apc.org" TargetMode="External"/><Relationship Id="rId10" Type="http://schemas.openxmlformats.org/officeDocument/2006/relationships/hyperlink" Target="http://www.ncbi.nlm.nih.gov/pubmed?term=Chapel%20S%5BAuthor%5D&amp;cauthor=true&amp;cauthor_uid=2081883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?term=Miller%20R%5BAuthor%5D&amp;cauthor=true&amp;cauthor_uid=20818832" TargetMode="External"/><Relationship Id="rId14" Type="http://schemas.openxmlformats.org/officeDocument/2006/relationships/hyperlink" Target="http://www.ncbi.nlm.nih.gov/pubmed?term=Zochodne%20D%5BAuthor%5D&amp;cauthor=true&amp;cauthor_uid=214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smarks</dc:creator>
  <cp:lastModifiedBy>smarks</cp:lastModifiedBy>
  <cp:revision>2</cp:revision>
  <dcterms:created xsi:type="dcterms:W3CDTF">2015-01-28T14:50:00Z</dcterms:created>
  <dcterms:modified xsi:type="dcterms:W3CDTF">2015-01-28T14:50:00Z</dcterms:modified>
</cp:coreProperties>
</file>