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91" w:rsidRPr="00AD3E61" w:rsidRDefault="00A96A91" w:rsidP="00AD3E61">
      <w:pPr>
        <w:jc w:val="center"/>
        <w:rPr>
          <w:rFonts w:ascii="Helvetica" w:hAnsi="Helvetica" w:cs="Helvetica"/>
          <w:b/>
          <w:bCs/>
          <w:i/>
          <w:i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 wp14:anchorId="4D12EBF0" wp14:editId="69F23964">
            <wp:extent cx="1778000" cy="317500"/>
            <wp:effectExtent l="0" t="0" r="0" b="12700"/>
            <wp:docPr id="1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7E5" w:rsidRPr="002406B5" w:rsidRDefault="00E867E5" w:rsidP="00E867E5">
      <w:pPr>
        <w:jc w:val="center"/>
        <w:rPr>
          <w:rFonts w:ascii="Arial" w:hAnsi="Arial" w:cs="Arial"/>
          <w:b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>FAST FACTS AND CONCEPTS #</w:t>
      </w:r>
      <w:r w:rsidR="00E75CDE">
        <w:rPr>
          <w:rFonts w:ascii="Arial" w:hAnsi="Arial" w:cs="Arial"/>
          <w:b/>
          <w:sz w:val="20"/>
          <w:szCs w:val="20"/>
        </w:rPr>
        <w:t>325</w:t>
      </w:r>
    </w:p>
    <w:p w:rsidR="00E867E5" w:rsidRPr="002406B5" w:rsidRDefault="00E867E5" w:rsidP="00E867E5">
      <w:pPr>
        <w:jc w:val="center"/>
        <w:rPr>
          <w:rFonts w:ascii="Arial" w:hAnsi="Arial" w:cs="Arial"/>
          <w:b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>UREMIC CALCIPHYLAXIS</w:t>
      </w:r>
    </w:p>
    <w:p w:rsidR="00E867E5" w:rsidRPr="002406B5" w:rsidRDefault="00E867E5" w:rsidP="00AD3E61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>Katherine Roza MD, Jason C. George DO, Maria Bermudez MD and Zankhana Mehta MD</w:t>
      </w:r>
      <w:r>
        <w:rPr>
          <w:rFonts w:ascii="Arial" w:hAnsi="Arial" w:cs="Arial"/>
          <w:b/>
          <w:sz w:val="20"/>
          <w:szCs w:val="20"/>
        </w:rPr>
        <w:t>.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  <w:proofErr w:type="spellStart"/>
      <w:r w:rsidRPr="002406B5">
        <w:rPr>
          <w:rFonts w:ascii="Arial" w:hAnsi="Arial" w:cs="Arial"/>
          <w:sz w:val="20"/>
          <w:szCs w:val="20"/>
        </w:rPr>
        <w:t>Calciphylaxis</w:t>
      </w:r>
      <w:proofErr w:type="spellEnd"/>
      <w:r w:rsidRPr="00240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 w:rsidRPr="002406B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poorly understood</w:t>
      </w:r>
      <w:r w:rsidRPr="002406B5">
        <w:rPr>
          <w:rFonts w:ascii="Arial" w:hAnsi="Arial" w:cs="Arial"/>
          <w:sz w:val="20"/>
          <w:szCs w:val="20"/>
        </w:rPr>
        <w:t xml:space="preserve"> disorder</w:t>
      </w:r>
      <w:r w:rsidRPr="00A450DF">
        <w:rPr>
          <w:rFonts w:ascii="Arial" w:hAnsi="Arial" w:cs="Arial"/>
          <w:sz w:val="20"/>
          <w:szCs w:val="20"/>
        </w:rPr>
        <w:t xml:space="preserve"> </w:t>
      </w:r>
      <w:r w:rsidRPr="002406B5">
        <w:rPr>
          <w:rFonts w:ascii="Arial" w:hAnsi="Arial" w:cs="Arial"/>
          <w:sz w:val="20"/>
          <w:szCs w:val="20"/>
        </w:rPr>
        <w:t xml:space="preserve">in which calcification of small blood vessels </w:t>
      </w:r>
      <w:r>
        <w:rPr>
          <w:rFonts w:ascii="Arial" w:hAnsi="Arial" w:cs="Arial"/>
          <w:sz w:val="20"/>
          <w:szCs w:val="20"/>
        </w:rPr>
        <w:t xml:space="preserve">causes painful </w:t>
      </w:r>
      <w:r w:rsidRPr="002406B5">
        <w:rPr>
          <w:rFonts w:ascii="Arial" w:hAnsi="Arial" w:cs="Arial"/>
          <w:sz w:val="20"/>
          <w:szCs w:val="20"/>
        </w:rPr>
        <w:t>ischemic skin and visceral lesions</w:t>
      </w:r>
      <w:r>
        <w:rPr>
          <w:rFonts w:ascii="Arial" w:hAnsi="Arial" w:cs="Arial"/>
          <w:sz w:val="20"/>
          <w:szCs w:val="20"/>
        </w:rPr>
        <w:t xml:space="preserve"> most often in patients with end-stage renal disease (ESRD)</w:t>
      </w:r>
      <w:r w:rsidRPr="002406B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This </w:t>
      </w:r>
      <w:r w:rsidRPr="0060028A">
        <w:rPr>
          <w:rFonts w:ascii="Arial" w:hAnsi="Arial" w:cs="Arial"/>
          <w:i/>
          <w:sz w:val="20"/>
          <w:szCs w:val="20"/>
        </w:rPr>
        <w:t xml:space="preserve">Fast Fact </w:t>
      </w:r>
      <w:r>
        <w:rPr>
          <w:rFonts w:ascii="Arial" w:hAnsi="Arial" w:cs="Arial"/>
          <w:sz w:val="20"/>
          <w:szCs w:val="20"/>
        </w:rPr>
        <w:t>will review its clinical presentation and offer recommendations for advance care planning and symptom management.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Epidemiology:  </w:t>
      </w:r>
      <w:proofErr w:type="spellStart"/>
      <w:r w:rsidRPr="002406B5">
        <w:rPr>
          <w:rFonts w:ascii="Arial" w:hAnsi="Arial" w:cs="Arial"/>
          <w:sz w:val="20"/>
          <w:szCs w:val="20"/>
        </w:rPr>
        <w:t>Calciphylaxis</w:t>
      </w:r>
      <w:proofErr w:type="spellEnd"/>
      <w:r w:rsidRPr="00240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occurs in</w:t>
      </w:r>
      <w:r w:rsidRPr="00240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4% of ESRD patients on peritoneal dialysis or hemodialysis and can occasionally occur in pre-dialysis </w:t>
      </w:r>
      <w:bookmarkStart w:id="0" w:name="_Ref325619541"/>
      <w:r>
        <w:rPr>
          <w:rFonts w:ascii="Arial" w:hAnsi="Arial" w:cs="Arial"/>
          <w:sz w:val="20"/>
          <w:szCs w:val="20"/>
        </w:rPr>
        <w:t>renal disease (</w:t>
      </w:r>
      <w:r w:rsidR="00705CF3">
        <w:rPr>
          <w:rFonts w:ascii="Arial" w:hAnsi="Arial" w:cs="Arial"/>
          <w:sz w:val="20"/>
          <w:szCs w:val="20"/>
        </w:rPr>
        <w:t>1</w:t>
      </w:r>
      <w:bookmarkStart w:id="1" w:name="_GoBack"/>
      <w:bookmarkEnd w:id="0"/>
      <w:bookmarkEnd w:id="1"/>
      <w:r>
        <w:rPr>
          <w:rFonts w:ascii="Arial" w:hAnsi="Arial" w:cs="Arial"/>
          <w:sz w:val="20"/>
          <w:szCs w:val="20"/>
        </w:rPr>
        <w:t>)</w:t>
      </w:r>
      <w:r w:rsidRPr="002406B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Ri</w:t>
      </w:r>
      <w:r w:rsidRPr="002406B5">
        <w:rPr>
          <w:rFonts w:ascii="Arial" w:hAnsi="Arial" w:cs="Arial"/>
          <w:sz w:val="20"/>
          <w:szCs w:val="20"/>
        </w:rPr>
        <w:t>sk factors</w:t>
      </w:r>
      <w:r>
        <w:rPr>
          <w:rFonts w:ascii="Arial" w:hAnsi="Arial" w:cs="Arial"/>
          <w:sz w:val="20"/>
          <w:szCs w:val="20"/>
        </w:rPr>
        <w:t xml:space="preserve"> </w:t>
      </w:r>
      <w:r w:rsidRPr="002406B5">
        <w:rPr>
          <w:rFonts w:ascii="Arial" w:hAnsi="Arial" w:cs="Arial"/>
          <w:sz w:val="20"/>
          <w:szCs w:val="20"/>
        </w:rPr>
        <w:t>include: female sex; Caucasian race; obesity; diabetes</w:t>
      </w:r>
      <w:r>
        <w:rPr>
          <w:rFonts w:ascii="Arial" w:hAnsi="Arial" w:cs="Arial"/>
          <w:sz w:val="20"/>
          <w:szCs w:val="20"/>
        </w:rPr>
        <w:t xml:space="preserve"> mellitus</w:t>
      </w:r>
      <w:r w:rsidRPr="002406B5">
        <w:rPr>
          <w:rFonts w:ascii="Arial" w:hAnsi="Arial" w:cs="Arial"/>
          <w:sz w:val="20"/>
          <w:szCs w:val="20"/>
        </w:rPr>
        <w:t>; hyperparathyroidism;</w:t>
      </w:r>
      <w:r>
        <w:rPr>
          <w:rFonts w:ascii="Arial" w:hAnsi="Arial" w:cs="Arial"/>
          <w:sz w:val="20"/>
          <w:szCs w:val="20"/>
        </w:rPr>
        <w:t xml:space="preserve"> albumin &lt; 3</w:t>
      </w:r>
      <w:r w:rsidRPr="002406B5">
        <w:rPr>
          <w:rFonts w:ascii="Arial" w:hAnsi="Arial" w:cs="Arial"/>
          <w:sz w:val="20"/>
          <w:szCs w:val="20"/>
        </w:rPr>
        <w:t xml:space="preserve">; hypercoagulable states; </w:t>
      </w:r>
      <w:r>
        <w:rPr>
          <w:rFonts w:ascii="Arial" w:hAnsi="Arial" w:cs="Arial"/>
          <w:sz w:val="20"/>
          <w:szCs w:val="20"/>
        </w:rPr>
        <w:t xml:space="preserve">and exposure to certain </w:t>
      </w:r>
      <w:r w:rsidRPr="002406B5">
        <w:rPr>
          <w:rFonts w:ascii="Arial" w:hAnsi="Arial" w:cs="Arial"/>
          <w:sz w:val="20"/>
          <w:szCs w:val="20"/>
        </w:rPr>
        <w:t xml:space="preserve">medications </w:t>
      </w:r>
      <w:r>
        <w:rPr>
          <w:rFonts w:ascii="Arial" w:hAnsi="Arial" w:cs="Arial"/>
          <w:sz w:val="20"/>
          <w:szCs w:val="20"/>
        </w:rPr>
        <w:t xml:space="preserve">such as </w:t>
      </w:r>
      <w:r w:rsidRPr="002406B5">
        <w:rPr>
          <w:rFonts w:ascii="Arial" w:hAnsi="Arial" w:cs="Arial"/>
          <w:sz w:val="20"/>
          <w:szCs w:val="20"/>
        </w:rPr>
        <w:t xml:space="preserve">warfarin, iron, vitamin D, </w:t>
      </w:r>
      <w:r>
        <w:rPr>
          <w:rFonts w:ascii="Arial" w:hAnsi="Arial" w:cs="Arial"/>
          <w:sz w:val="20"/>
          <w:szCs w:val="20"/>
        </w:rPr>
        <w:t>and cortico</w:t>
      </w:r>
      <w:r w:rsidRPr="002406B5">
        <w:rPr>
          <w:rFonts w:ascii="Arial" w:hAnsi="Arial" w:cs="Arial"/>
          <w:sz w:val="20"/>
          <w:szCs w:val="20"/>
        </w:rPr>
        <w:t>steroids</w:t>
      </w:r>
      <w:r>
        <w:rPr>
          <w:rFonts w:ascii="Arial" w:hAnsi="Arial" w:cs="Arial"/>
          <w:sz w:val="20"/>
          <w:szCs w:val="20"/>
        </w:rPr>
        <w:t xml:space="preserve"> (</w:t>
      </w:r>
      <w:r w:rsidRPr="002406B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-7)</w:t>
      </w:r>
      <w:r w:rsidRPr="002406B5">
        <w:rPr>
          <w:rFonts w:ascii="Arial" w:hAnsi="Arial" w:cs="Arial"/>
          <w:sz w:val="20"/>
          <w:szCs w:val="20"/>
        </w:rPr>
        <w:t xml:space="preserve">. 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>Pathophysiology: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3A31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remia</w:t>
      </w:r>
      <w:r w:rsidRPr="002406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calcium products, and</w:t>
      </w:r>
      <w:r w:rsidRPr="002406B5">
        <w:rPr>
          <w:rFonts w:ascii="Arial" w:hAnsi="Arial" w:cs="Arial"/>
          <w:sz w:val="20"/>
          <w:szCs w:val="20"/>
        </w:rPr>
        <w:t xml:space="preserve"> reactive oxygen species (ROS)</w:t>
      </w:r>
      <w:r>
        <w:rPr>
          <w:rFonts w:ascii="Arial" w:hAnsi="Arial" w:cs="Arial"/>
          <w:sz w:val="20"/>
          <w:szCs w:val="20"/>
        </w:rPr>
        <w:t xml:space="preserve"> associated with ESRD are thought to increase vascular calcium deposition and fibrosis, leading to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 (1,3)</w:t>
      </w:r>
      <w:r w:rsidRPr="002406B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Over time this process</w:t>
      </w:r>
      <w:r w:rsidRPr="00240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likely </w:t>
      </w:r>
      <w:r w:rsidRPr="002406B5">
        <w:rPr>
          <w:rFonts w:ascii="Arial" w:hAnsi="Arial" w:cs="Arial"/>
          <w:sz w:val="20"/>
          <w:szCs w:val="20"/>
        </w:rPr>
        <w:t>precipitate</w:t>
      </w:r>
      <w:r>
        <w:rPr>
          <w:rFonts w:ascii="Arial" w:hAnsi="Arial" w:cs="Arial"/>
          <w:sz w:val="20"/>
          <w:szCs w:val="20"/>
        </w:rPr>
        <w:t>s</w:t>
      </w:r>
      <w:r w:rsidRPr="002406B5">
        <w:rPr>
          <w:rFonts w:ascii="Arial" w:hAnsi="Arial" w:cs="Arial"/>
          <w:sz w:val="20"/>
          <w:szCs w:val="20"/>
        </w:rPr>
        <w:t xml:space="preserve"> arteriolar remodeling and progressive stenosis, </w:t>
      </w:r>
      <w:r>
        <w:rPr>
          <w:rFonts w:ascii="Arial" w:hAnsi="Arial" w:cs="Arial"/>
          <w:sz w:val="20"/>
          <w:szCs w:val="20"/>
        </w:rPr>
        <w:t xml:space="preserve">causing </w:t>
      </w:r>
      <w:r w:rsidRPr="002406B5">
        <w:rPr>
          <w:rFonts w:ascii="Arial" w:hAnsi="Arial" w:cs="Arial"/>
          <w:sz w:val="20"/>
          <w:szCs w:val="20"/>
        </w:rPr>
        <w:t>ischemia</w:t>
      </w:r>
      <w:r>
        <w:rPr>
          <w:rFonts w:ascii="Arial" w:hAnsi="Arial" w:cs="Arial"/>
          <w:sz w:val="20"/>
          <w:szCs w:val="20"/>
        </w:rPr>
        <w:t xml:space="preserve"> </w:t>
      </w:r>
      <w:r w:rsidRPr="002406B5">
        <w:rPr>
          <w:rFonts w:ascii="Arial" w:hAnsi="Arial" w:cs="Arial"/>
          <w:sz w:val="20"/>
          <w:szCs w:val="20"/>
        </w:rPr>
        <w:t>and skin infarcts</w:t>
      </w:r>
      <w:r>
        <w:rPr>
          <w:rFonts w:ascii="Arial" w:hAnsi="Arial" w:cs="Arial"/>
          <w:sz w:val="20"/>
          <w:szCs w:val="20"/>
        </w:rPr>
        <w:t>.</w:t>
      </w:r>
      <w:r w:rsidRPr="002406B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one-year mortality rate for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 is estimated to be 45-80%</w:t>
      </w:r>
      <w:r w:rsidR="003A31AD">
        <w:rPr>
          <w:rFonts w:ascii="Arial" w:hAnsi="Arial" w:cs="Arial"/>
          <w:sz w:val="20"/>
          <w:szCs w:val="20"/>
        </w:rPr>
        <w:t>, which may be even higher</w:t>
      </w:r>
      <w:r>
        <w:rPr>
          <w:rFonts w:ascii="Arial" w:hAnsi="Arial" w:cs="Arial"/>
          <w:sz w:val="20"/>
          <w:szCs w:val="20"/>
        </w:rPr>
        <w:t xml:space="preserve"> w</w:t>
      </w:r>
      <w:r w:rsidR="003A31AD">
        <w:rPr>
          <w:rFonts w:ascii="Arial" w:hAnsi="Arial" w:cs="Arial"/>
          <w:sz w:val="20"/>
          <w:szCs w:val="20"/>
        </w:rPr>
        <w:t>hen</w:t>
      </w:r>
      <w:r>
        <w:rPr>
          <w:rFonts w:ascii="Arial" w:hAnsi="Arial" w:cs="Arial"/>
          <w:sz w:val="20"/>
          <w:szCs w:val="20"/>
        </w:rPr>
        <w:t xml:space="preserve"> ulcerative skin lesions</w:t>
      </w:r>
      <w:r w:rsidR="003A31AD">
        <w:rPr>
          <w:rFonts w:ascii="Arial" w:hAnsi="Arial" w:cs="Arial"/>
          <w:sz w:val="20"/>
          <w:szCs w:val="20"/>
        </w:rPr>
        <w:t xml:space="preserve"> are present</w:t>
      </w:r>
      <w:r>
        <w:rPr>
          <w:rFonts w:ascii="Arial" w:hAnsi="Arial" w:cs="Arial"/>
          <w:sz w:val="20"/>
          <w:szCs w:val="20"/>
        </w:rPr>
        <w:t xml:space="preserve"> (7,8).  </w:t>
      </w:r>
      <w:r w:rsidRPr="0042580C">
        <w:rPr>
          <w:rFonts w:ascii="Arial" w:hAnsi="Arial" w:cs="Arial"/>
          <w:sz w:val="20"/>
          <w:szCs w:val="20"/>
        </w:rPr>
        <w:t xml:space="preserve">Ischemic complications </w:t>
      </w:r>
      <w:r>
        <w:rPr>
          <w:rFonts w:ascii="Arial" w:hAnsi="Arial" w:cs="Arial"/>
          <w:sz w:val="20"/>
          <w:szCs w:val="20"/>
        </w:rPr>
        <w:t>and</w:t>
      </w:r>
      <w:r w:rsidRPr="0042580C">
        <w:rPr>
          <w:rFonts w:ascii="Arial" w:hAnsi="Arial" w:cs="Arial"/>
          <w:sz w:val="20"/>
          <w:szCs w:val="20"/>
        </w:rPr>
        <w:t xml:space="preserve"> difficult to treat infections given </w:t>
      </w:r>
      <w:r>
        <w:rPr>
          <w:rFonts w:ascii="Arial" w:hAnsi="Arial" w:cs="Arial"/>
          <w:sz w:val="20"/>
          <w:szCs w:val="20"/>
        </w:rPr>
        <w:t xml:space="preserve">incomplete </w:t>
      </w:r>
      <w:r w:rsidRPr="00E914B1">
        <w:rPr>
          <w:rFonts w:ascii="Arial" w:hAnsi="Arial" w:cs="Arial"/>
          <w:sz w:val="20"/>
          <w:szCs w:val="20"/>
        </w:rPr>
        <w:t xml:space="preserve">antibiotic penetrance </w:t>
      </w:r>
      <w:r>
        <w:rPr>
          <w:rFonts w:ascii="Arial" w:hAnsi="Arial" w:cs="Arial"/>
          <w:sz w:val="20"/>
          <w:szCs w:val="20"/>
        </w:rPr>
        <w:t xml:space="preserve">and </w:t>
      </w:r>
      <w:r w:rsidRPr="00E914B1">
        <w:rPr>
          <w:rFonts w:ascii="Arial" w:hAnsi="Arial" w:cs="Arial"/>
          <w:sz w:val="20"/>
          <w:szCs w:val="20"/>
        </w:rPr>
        <w:t>poorly perfused tissues</w:t>
      </w:r>
      <w:r>
        <w:rPr>
          <w:rFonts w:ascii="Arial" w:hAnsi="Arial" w:cs="Arial"/>
          <w:sz w:val="20"/>
          <w:szCs w:val="20"/>
        </w:rPr>
        <w:t xml:space="preserve"> are potential mechanisms for the increased mortality risk.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</w:p>
    <w:p w:rsidR="00E867E5" w:rsidRDefault="00E867E5" w:rsidP="00E867E5">
      <w:pPr>
        <w:rPr>
          <w:rFonts w:ascii="Arial" w:hAnsi="Arial" w:cs="Arial"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 xml:space="preserve">Clinical </w:t>
      </w:r>
      <w:r>
        <w:rPr>
          <w:rFonts w:ascii="Arial" w:hAnsi="Arial" w:cs="Arial"/>
          <w:b/>
          <w:sz w:val="20"/>
          <w:szCs w:val="20"/>
        </w:rPr>
        <w:t xml:space="preserve">Presentation:  </w:t>
      </w:r>
      <w:r w:rsidRPr="002406B5">
        <w:rPr>
          <w:rFonts w:ascii="Arial" w:hAnsi="Arial" w:cs="Arial"/>
          <w:sz w:val="20"/>
          <w:szCs w:val="20"/>
        </w:rPr>
        <w:t xml:space="preserve">Early </w:t>
      </w:r>
      <w:r>
        <w:rPr>
          <w:rFonts w:ascii="Arial" w:hAnsi="Arial" w:cs="Arial"/>
          <w:sz w:val="20"/>
          <w:szCs w:val="20"/>
        </w:rPr>
        <w:t>signs</w:t>
      </w:r>
      <w:r w:rsidRPr="002406B5">
        <w:rPr>
          <w:rFonts w:ascii="Arial" w:hAnsi="Arial" w:cs="Arial"/>
          <w:sz w:val="20"/>
          <w:szCs w:val="20"/>
        </w:rPr>
        <w:t xml:space="preserve"> include pain and</w:t>
      </w:r>
      <w:r>
        <w:rPr>
          <w:rFonts w:ascii="Arial" w:hAnsi="Arial" w:cs="Arial"/>
          <w:sz w:val="20"/>
          <w:szCs w:val="20"/>
        </w:rPr>
        <w:t xml:space="preserve"> a lace-like purplish discoloration of the skin (livedo reticularis). </w:t>
      </w:r>
      <w:r w:rsidRPr="002406B5">
        <w:rPr>
          <w:rFonts w:ascii="Arial" w:hAnsi="Arial" w:cs="Arial"/>
          <w:sz w:val="20"/>
          <w:szCs w:val="20"/>
        </w:rPr>
        <w:t xml:space="preserve">This is often followed by painful </w:t>
      </w:r>
      <w:r>
        <w:rPr>
          <w:rFonts w:ascii="Arial" w:hAnsi="Arial" w:cs="Arial"/>
          <w:sz w:val="20"/>
          <w:szCs w:val="20"/>
        </w:rPr>
        <w:t xml:space="preserve">subcutaneous nodules or </w:t>
      </w:r>
      <w:r w:rsidRPr="002406B5">
        <w:rPr>
          <w:rFonts w:ascii="Arial" w:hAnsi="Arial" w:cs="Arial"/>
          <w:sz w:val="20"/>
          <w:szCs w:val="20"/>
        </w:rPr>
        <w:t xml:space="preserve">plaques that </w:t>
      </w:r>
      <w:r>
        <w:rPr>
          <w:rFonts w:ascii="Arial" w:hAnsi="Arial" w:cs="Arial"/>
          <w:sz w:val="20"/>
          <w:szCs w:val="20"/>
        </w:rPr>
        <w:t>progress to</w:t>
      </w:r>
      <w:r w:rsidRPr="002406B5">
        <w:rPr>
          <w:rFonts w:ascii="Arial" w:hAnsi="Arial" w:cs="Arial"/>
          <w:sz w:val="20"/>
          <w:szCs w:val="20"/>
        </w:rPr>
        <w:t xml:space="preserve"> necrotic ulcerations. Areas of greatest </w:t>
      </w:r>
      <w:r>
        <w:rPr>
          <w:rFonts w:ascii="Arial" w:hAnsi="Arial" w:cs="Arial"/>
          <w:sz w:val="20"/>
          <w:szCs w:val="20"/>
        </w:rPr>
        <w:t xml:space="preserve">fat tissue -- </w:t>
      </w:r>
      <w:r w:rsidRPr="002406B5">
        <w:rPr>
          <w:rFonts w:ascii="Arial" w:hAnsi="Arial" w:cs="Arial"/>
          <w:sz w:val="20"/>
          <w:szCs w:val="20"/>
        </w:rPr>
        <w:t>abdomen, buttocks, and</w:t>
      </w:r>
      <w:r>
        <w:rPr>
          <w:rFonts w:ascii="Arial" w:hAnsi="Arial" w:cs="Arial"/>
          <w:sz w:val="20"/>
          <w:szCs w:val="20"/>
        </w:rPr>
        <w:t xml:space="preserve"> inner</w:t>
      </w:r>
      <w:r w:rsidRPr="002406B5">
        <w:rPr>
          <w:rFonts w:ascii="Arial" w:hAnsi="Arial" w:cs="Arial"/>
          <w:sz w:val="20"/>
          <w:szCs w:val="20"/>
        </w:rPr>
        <w:t xml:space="preserve"> thighs</w:t>
      </w:r>
      <w:r>
        <w:rPr>
          <w:rFonts w:ascii="Arial" w:hAnsi="Arial" w:cs="Arial"/>
          <w:sz w:val="20"/>
          <w:szCs w:val="20"/>
        </w:rPr>
        <w:t xml:space="preserve"> --</w:t>
      </w:r>
      <w:r w:rsidRPr="002406B5">
        <w:rPr>
          <w:rFonts w:ascii="Arial" w:hAnsi="Arial" w:cs="Arial"/>
          <w:sz w:val="20"/>
          <w:szCs w:val="20"/>
        </w:rPr>
        <w:t xml:space="preserve"> are most </w:t>
      </w:r>
      <w:r>
        <w:rPr>
          <w:rFonts w:ascii="Arial" w:hAnsi="Arial" w:cs="Arial"/>
          <w:sz w:val="20"/>
          <w:szCs w:val="20"/>
        </w:rPr>
        <w:t xml:space="preserve">commonly involved, although </w:t>
      </w:r>
      <w:r w:rsidRPr="002406B5">
        <w:rPr>
          <w:rFonts w:ascii="Arial" w:hAnsi="Arial" w:cs="Arial"/>
          <w:sz w:val="20"/>
          <w:szCs w:val="20"/>
        </w:rPr>
        <w:t>visceral organs, skeletal muscle</w:t>
      </w:r>
      <w:r>
        <w:rPr>
          <w:rFonts w:ascii="Arial" w:hAnsi="Arial" w:cs="Arial"/>
          <w:sz w:val="20"/>
          <w:szCs w:val="20"/>
        </w:rPr>
        <w:t>,</w:t>
      </w:r>
      <w:r w:rsidRPr="002406B5">
        <w:rPr>
          <w:rFonts w:ascii="Arial" w:hAnsi="Arial" w:cs="Arial"/>
          <w:sz w:val="20"/>
          <w:szCs w:val="20"/>
        </w:rPr>
        <w:t xml:space="preserve"> an</w:t>
      </w:r>
      <w:r>
        <w:rPr>
          <w:rFonts w:ascii="Arial" w:hAnsi="Arial" w:cs="Arial"/>
          <w:sz w:val="20"/>
          <w:szCs w:val="20"/>
        </w:rPr>
        <w:t>d heart muscle can also be affected (5, 9)</w:t>
      </w:r>
      <w:r w:rsidRPr="002406B5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 can be challenging to distinguish from a vasculitis. Intact pulses, bilateral upper extremity involvement, and calcification seen on X-rays or CT scans are suggestive indicators of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E867E5" w:rsidRDefault="00E867E5" w:rsidP="00E867E5">
      <w:pPr>
        <w:rPr>
          <w:rFonts w:ascii="Arial" w:hAnsi="Arial" w:cs="Arial"/>
          <w:sz w:val="20"/>
          <w:szCs w:val="20"/>
        </w:rPr>
      </w:pPr>
    </w:p>
    <w:p w:rsidR="00E867E5" w:rsidRDefault="00E867E5" w:rsidP="00E867E5">
      <w:pPr>
        <w:rPr>
          <w:rFonts w:ascii="Arial" w:hAnsi="Arial" w:cs="Arial"/>
          <w:sz w:val="20"/>
          <w:szCs w:val="20"/>
        </w:rPr>
      </w:pPr>
      <w:r w:rsidRPr="001E252E">
        <w:rPr>
          <w:rFonts w:ascii="Arial" w:hAnsi="Arial" w:cs="Arial"/>
          <w:b/>
          <w:sz w:val="20"/>
          <w:szCs w:val="20"/>
        </w:rPr>
        <w:t>Diagnosis</w:t>
      </w:r>
      <w:r>
        <w:rPr>
          <w:rFonts w:ascii="Arial" w:hAnsi="Arial" w:cs="Arial"/>
          <w:b/>
          <w:sz w:val="20"/>
          <w:szCs w:val="20"/>
        </w:rPr>
        <w:t xml:space="preserve">: 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 is a clinical diagnosis. </w:t>
      </w:r>
      <w:r w:rsidRPr="001E252E">
        <w:rPr>
          <w:rFonts w:ascii="Arial" w:hAnsi="Arial" w:cs="Arial"/>
          <w:sz w:val="20"/>
          <w:szCs w:val="20"/>
        </w:rPr>
        <w:t xml:space="preserve">Laboratory findings are non-specific. </w:t>
      </w:r>
      <w:r>
        <w:rPr>
          <w:rFonts w:ascii="Arial" w:hAnsi="Arial" w:cs="Arial"/>
          <w:sz w:val="20"/>
          <w:szCs w:val="20"/>
        </w:rPr>
        <w:t>In certain circumstances</w:t>
      </w:r>
      <w:r w:rsidRPr="00217115">
        <w:rPr>
          <w:rFonts w:ascii="Arial" w:hAnsi="Arial" w:cs="Arial"/>
          <w:sz w:val="20"/>
          <w:szCs w:val="20"/>
        </w:rPr>
        <w:t xml:space="preserve">, a dermatology consult and/or skin biopsy may be needed. </w:t>
      </w:r>
      <w:r>
        <w:rPr>
          <w:rFonts w:ascii="Arial" w:hAnsi="Arial" w:cs="Arial"/>
          <w:sz w:val="20"/>
          <w:szCs w:val="20"/>
        </w:rPr>
        <w:t>However, s</w:t>
      </w:r>
      <w:r w:rsidRPr="001E252E">
        <w:rPr>
          <w:rFonts w:ascii="Arial" w:hAnsi="Arial" w:cs="Arial"/>
          <w:sz w:val="20"/>
          <w:szCs w:val="20"/>
        </w:rPr>
        <w:t>kin biops</w:t>
      </w:r>
      <w:r>
        <w:rPr>
          <w:rFonts w:ascii="Arial" w:hAnsi="Arial" w:cs="Arial"/>
          <w:sz w:val="20"/>
          <w:szCs w:val="20"/>
        </w:rPr>
        <w:t xml:space="preserve">y </w:t>
      </w:r>
      <w:r w:rsidRPr="001E252E">
        <w:rPr>
          <w:rFonts w:ascii="Arial" w:hAnsi="Arial" w:cs="Arial"/>
          <w:sz w:val="20"/>
          <w:szCs w:val="20"/>
        </w:rPr>
        <w:t xml:space="preserve">is usually deferred due to risk of pain, </w:t>
      </w:r>
      <w:r>
        <w:rPr>
          <w:rFonts w:ascii="Arial" w:hAnsi="Arial" w:cs="Arial"/>
          <w:sz w:val="20"/>
          <w:szCs w:val="20"/>
        </w:rPr>
        <w:t>a</w:t>
      </w:r>
      <w:r w:rsidRPr="001E252E">
        <w:rPr>
          <w:rFonts w:ascii="Arial" w:hAnsi="Arial" w:cs="Arial"/>
          <w:sz w:val="20"/>
          <w:szCs w:val="20"/>
        </w:rPr>
        <w:t xml:space="preserve"> false negative result, </w:t>
      </w:r>
      <w:r>
        <w:rPr>
          <w:rFonts w:ascii="Arial" w:hAnsi="Arial" w:cs="Arial"/>
          <w:sz w:val="20"/>
          <w:szCs w:val="20"/>
        </w:rPr>
        <w:t xml:space="preserve">and </w:t>
      </w:r>
      <w:r w:rsidRPr="001E252E">
        <w:rPr>
          <w:rFonts w:ascii="Arial" w:hAnsi="Arial" w:cs="Arial"/>
          <w:sz w:val="20"/>
          <w:szCs w:val="20"/>
        </w:rPr>
        <w:t xml:space="preserve">poor wound healing </w:t>
      </w:r>
      <w:r>
        <w:rPr>
          <w:rFonts w:ascii="Arial" w:hAnsi="Arial" w:cs="Arial"/>
          <w:sz w:val="20"/>
          <w:szCs w:val="20"/>
        </w:rPr>
        <w:t>(</w:t>
      </w:r>
      <w:r w:rsidRPr="001E252E">
        <w:rPr>
          <w:rFonts w:ascii="Arial" w:hAnsi="Arial" w:cs="Arial"/>
          <w:sz w:val="20"/>
          <w:szCs w:val="20"/>
        </w:rPr>
        <w:fldChar w:fldCharType="begin"/>
      </w:r>
      <w:r w:rsidRPr="001E252E">
        <w:rPr>
          <w:rFonts w:ascii="Arial" w:hAnsi="Arial" w:cs="Arial"/>
          <w:sz w:val="20"/>
          <w:szCs w:val="20"/>
        </w:rPr>
        <w:instrText xml:space="preserve"> NOTEREF _Ref325619802 \f \h  \* MERGEFORMAT </w:instrText>
      </w:r>
      <w:r w:rsidRPr="001E252E">
        <w:rPr>
          <w:rFonts w:ascii="Arial" w:hAnsi="Arial" w:cs="Arial"/>
          <w:sz w:val="20"/>
          <w:szCs w:val="20"/>
        </w:rPr>
      </w:r>
      <w:r w:rsidRPr="001E252E">
        <w:rPr>
          <w:rFonts w:ascii="Arial" w:hAnsi="Arial" w:cs="Arial"/>
          <w:sz w:val="20"/>
          <w:szCs w:val="20"/>
        </w:rPr>
        <w:fldChar w:fldCharType="separate"/>
      </w:r>
      <w:r w:rsidRPr="001E252E">
        <w:rPr>
          <w:rFonts w:ascii="Arial" w:hAnsi="Arial" w:cs="Arial"/>
          <w:sz w:val="20"/>
          <w:szCs w:val="20"/>
        </w:rPr>
        <w:t>2</w:t>
      </w:r>
      <w:r w:rsidRPr="001E252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,10)</w:t>
      </w:r>
      <w:r w:rsidRPr="001E252E">
        <w:rPr>
          <w:rFonts w:ascii="Arial" w:hAnsi="Arial" w:cs="Arial"/>
          <w:sz w:val="20"/>
          <w:szCs w:val="20"/>
        </w:rPr>
        <w:t>. Imaging</w:t>
      </w:r>
      <w:r>
        <w:rPr>
          <w:rFonts w:ascii="Arial" w:hAnsi="Arial" w:cs="Arial"/>
          <w:sz w:val="20"/>
          <w:szCs w:val="20"/>
        </w:rPr>
        <w:t xml:space="preserve"> studies </w:t>
      </w:r>
      <w:r w:rsidRPr="001E252E">
        <w:rPr>
          <w:rFonts w:ascii="Arial" w:hAnsi="Arial" w:cs="Arial"/>
          <w:sz w:val="20"/>
          <w:szCs w:val="20"/>
        </w:rPr>
        <w:t xml:space="preserve">can support the diagnosis by identifying calcification, but </w:t>
      </w:r>
      <w:r>
        <w:rPr>
          <w:rFonts w:ascii="Arial" w:hAnsi="Arial" w:cs="Arial"/>
          <w:sz w:val="20"/>
          <w:szCs w:val="20"/>
        </w:rPr>
        <w:t>they do</w:t>
      </w:r>
      <w:r w:rsidRPr="001E252E">
        <w:rPr>
          <w:rFonts w:ascii="Arial" w:hAnsi="Arial" w:cs="Arial"/>
          <w:sz w:val="20"/>
          <w:szCs w:val="20"/>
        </w:rPr>
        <w:t xml:space="preserve"> not confirm a diagnosis and</w:t>
      </w:r>
      <w:r>
        <w:rPr>
          <w:rFonts w:ascii="Arial" w:hAnsi="Arial" w:cs="Arial"/>
          <w:sz w:val="20"/>
          <w:szCs w:val="20"/>
        </w:rPr>
        <w:t xml:space="preserve"> </w:t>
      </w:r>
      <w:r w:rsidRPr="001E252E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 xml:space="preserve">lead to </w:t>
      </w:r>
      <w:r w:rsidRPr="001E252E">
        <w:rPr>
          <w:rFonts w:ascii="Arial" w:hAnsi="Arial" w:cs="Arial"/>
          <w:sz w:val="20"/>
          <w:szCs w:val="20"/>
        </w:rPr>
        <w:t xml:space="preserve">unnecessary discomfort </w:t>
      </w:r>
      <w:r>
        <w:rPr>
          <w:rFonts w:ascii="Arial" w:hAnsi="Arial" w:cs="Arial"/>
          <w:sz w:val="20"/>
          <w:szCs w:val="20"/>
        </w:rPr>
        <w:t xml:space="preserve">(10). 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</w:p>
    <w:p w:rsidR="00E867E5" w:rsidRDefault="00E867E5" w:rsidP="00E867E5">
      <w:pPr>
        <w:rPr>
          <w:rFonts w:ascii="Arial" w:hAnsi="Arial" w:cs="Arial"/>
          <w:sz w:val="20"/>
          <w:szCs w:val="20"/>
        </w:rPr>
      </w:pPr>
      <w:r w:rsidRPr="002406B5">
        <w:rPr>
          <w:rFonts w:ascii="Arial" w:hAnsi="Arial" w:cs="Arial"/>
          <w:b/>
          <w:sz w:val="20"/>
          <w:szCs w:val="20"/>
        </w:rPr>
        <w:t>Treatment</w:t>
      </w:r>
      <w:r>
        <w:rPr>
          <w:rFonts w:ascii="Arial" w:hAnsi="Arial" w:cs="Arial"/>
          <w:sz w:val="20"/>
          <w:szCs w:val="20"/>
        </w:rPr>
        <w:t xml:space="preserve">:  </w:t>
      </w:r>
      <w:r w:rsidRPr="002406B5">
        <w:rPr>
          <w:rFonts w:ascii="Arial" w:hAnsi="Arial" w:cs="Arial"/>
          <w:sz w:val="20"/>
          <w:szCs w:val="20"/>
        </w:rPr>
        <w:t xml:space="preserve">No randomized control trials exist for </w:t>
      </w:r>
      <w:r>
        <w:rPr>
          <w:rFonts w:ascii="Arial" w:hAnsi="Arial" w:cs="Arial"/>
          <w:sz w:val="20"/>
          <w:szCs w:val="20"/>
        </w:rPr>
        <w:t xml:space="preserve">the </w:t>
      </w:r>
      <w:r w:rsidRPr="002406B5">
        <w:rPr>
          <w:rFonts w:ascii="Arial" w:hAnsi="Arial" w:cs="Arial"/>
          <w:sz w:val="20"/>
          <w:szCs w:val="20"/>
        </w:rPr>
        <w:t xml:space="preserve">treatment of </w:t>
      </w:r>
      <w:proofErr w:type="spellStart"/>
      <w:r w:rsidRPr="002406B5">
        <w:rPr>
          <w:rFonts w:ascii="Arial" w:hAnsi="Arial" w:cs="Arial"/>
          <w:sz w:val="20"/>
          <w:szCs w:val="20"/>
        </w:rPr>
        <w:t>calciphylaxis</w:t>
      </w:r>
      <w:proofErr w:type="spellEnd"/>
      <w:r w:rsidRPr="002406B5">
        <w:rPr>
          <w:rFonts w:ascii="Arial" w:hAnsi="Arial" w:cs="Arial"/>
          <w:sz w:val="20"/>
          <w:szCs w:val="20"/>
        </w:rPr>
        <w:t xml:space="preserve">. In </w:t>
      </w:r>
      <w:r>
        <w:rPr>
          <w:rFonts w:ascii="Arial" w:hAnsi="Arial" w:cs="Arial"/>
          <w:sz w:val="20"/>
          <w:szCs w:val="20"/>
        </w:rPr>
        <w:t>general, most experts recommend a multi-modal approach involving</w:t>
      </w:r>
      <w:r w:rsidRPr="002406B5">
        <w:rPr>
          <w:rFonts w:ascii="Arial" w:hAnsi="Arial" w:cs="Arial"/>
          <w:sz w:val="20"/>
          <w:szCs w:val="20"/>
        </w:rPr>
        <w:t xml:space="preserve"> adequate wound care</w:t>
      </w:r>
      <w:r>
        <w:rPr>
          <w:rFonts w:ascii="Arial" w:hAnsi="Arial" w:cs="Arial"/>
          <w:sz w:val="20"/>
          <w:szCs w:val="20"/>
        </w:rPr>
        <w:t>,</w:t>
      </w:r>
      <w:r w:rsidRPr="002406B5">
        <w:rPr>
          <w:rFonts w:ascii="Arial" w:hAnsi="Arial" w:cs="Arial"/>
          <w:sz w:val="20"/>
          <w:szCs w:val="20"/>
        </w:rPr>
        <w:t xml:space="preserve"> pain control, </w:t>
      </w:r>
      <w:r>
        <w:rPr>
          <w:rFonts w:ascii="Arial" w:hAnsi="Arial" w:cs="Arial"/>
          <w:sz w:val="20"/>
          <w:szCs w:val="20"/>
        </w:rPr>
        <w:t xml:space="preserve">and treatment of hyperparathyroidism. This includes </w:t>
      </w:r>
      <w:r w:rsidRPr="002406B5">
        <w:rPr>
          <w:rFonts w:ascii="Arial" w:hAnsi="Arial" w:cs="Arial"/>
          <w:sz w:val="20"/>
          <w:szCs w:val="20"/>
        </w:rPr>
        <w:t xml:space="preserve">a low phosphate diet, use of non-calcium based phosphate binders (i.e., </w:t>
      </w:r>
      <w:proofErr w:type="spellStart"/>
      <w:r w:rsidRPr="002406B5">
        <w:rPr>
          <w:rFonts w:ascii="Arial" w:hAnsi="Arial" w:cs="Arial"/>
          <w:sz w:val="20"/>
          <w:szCs w:val="20"/>
        </w:rPr>
        <w:t>sevelamer</w:t>
      </w:r>
      <w:proofErr w:type="spellEnd"/>
      <w:r w:rsidRPr="002406B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2406B5">
        <w:rPr>
          <w:rFonts w:ascii="Arial" w:hAnsi="Arial" w:cs="Arial"/>
          <w:sz w:val="20"/>
          <w:szCs w:val="20"/>
        </w:rPr>
        <w:t xml:space="preserve"> and cessation of vitamin D supplementation. In </w:t>
      </w:r>
      <w:r>
        <w:rPr>
          <w:rFonts w:ascii="Arial" w:hAnsi="Arial" w:cs="Arial"/>
          <w:sz w:val="20"/>
          <w:szCs w:val="20"/>
        </w:rPr>
        <w:t>hemo</w:t>
      </w:r>
      <w:r w:rsidRPr="002406B5">
        <w:rPr>
          <w:rFonts w:ascii="Arial" w:hAnsi="Arial" w:cs="Arial"/>
          <w:sz w:val="20"/>
          <w:szCs w:val="20"/>
        </w:rPr>
        <w:t xml:space="preserve">dialysis </w:t>
      </w:r>
      <w:r>
        <w:rPr>
          <w:rFonts w:ascii="Arial" w:hAnsi="Arial" w:cs="Arial"/>
          <w:sz w:val="20"/>
          <w:szCs w:val="20"/>
        </w:rPr>
        <w:t>patients,</w:t>
      </w:r>
      <w:r w:rsidRPr="002406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6B5">
        <w:rPr>
          <w:rFonts w:ascii="Arial" w:hAnsi="Arial" w:cs="Arial"/>
          <w:sz w:val="20"/>
          <w:szCs w:val="20"/>
        </w:rPr>
        <w:t>calcimimetics</w:t>
      </w:r>
      <w:proofErr w:type="spellEnd"/>
      <w:r w:rsidRPr="002406B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i.e. </w:t>
      </w:r>
      <w:proofErr w:type="spellStart"/>
      <w:r w:rsidRPr="002406B5">
        <w:rPr>
          <w:rFonts w:ascii="Arial" w:hAnsi="Arial" w:cs="Arial"/>
          <w:sz w:val="20"/>
          <w:szCs w:val="20"/>
        </w:rPr>
        <w:t>cinacalcet</w:t>
      </w:r>
      <w:proofErr w:type="spellEnd"/>
      <w:r w:rsidRPr="002406B5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and increasing dialysis frequency to 4 to 6 sessions per week </w:t>
      </w:r>
      <w:r w:rsidRPr="002406B5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>help</w:t>
      </w:r>
      <w:r w:rsidRPr="002406B5">
        <w:rPr>
          <w:rFonts w:ascii="Arial" w:hAnsi="Arial" w:cs="Arial"/>
          <w:sz w:val="20"/>
          <w:szCs w:val="20"/>
        </w:rPr>
        <w:t xml:space="preserve"> but evidence is limited to case reports </w:t>
      </w:r>
      <w:r>
        <w:rPr>
          <w:rFonts w:ascii="Arial" w:hAnsi="Arial" w:cs="Arial"/>
          <w:sz w:val="20"/>
          <w:szCs w:val="20"/>
        </w:rPr>
        <w:t>(3,11)</w:t>
      </w:r>
      <w:r w:rsidRPr="002406B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Other less established options include sodium thiosulfate infusion during hemodialysis, oxygen therapy (10-15 liters via face mask 2 hours/day), and hyperbaric oxygen directed to the wound (3,5,12,13). Providing these therapies may be logistically challenging for hospice agencies. </w:t>
      </w:r>
    </w:p>
    <w:p w:rsidR="00E867E5" w:rsidRPr="002406B5" w:rsidRDefault="00E867E5" w:rsidP="00E867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406B5">
        <w:rPr>
          <w:rFonts w:ascii="Arial" w:hAnsi="Arial" w:cs="Arial"/>
          <w:sz w:val="20"/>
          <w:szCs w:val="20"/>
        </w:rPr>
        <w:t xml:space="preserve"> </w:t>
      </w:r>
    </w:p>
    <w:p w:rsidR="00E867E5" w:rsidRDefault="00E867E5" w:rsidP="00E867E5">
      <w:pPr>
        <w:rPr>
          <w:rFonts w:ascii="Arial" w:hAnsi="Arial" w:cs="Arial"/>
          <w:color w:val="000000" w:themeColor="text1"/>
          <w:sz w:val="20"/>
          <w:szCs w:val="20"/>
        </w:rPr>
      </w:pPr>
      <w:r w:rsidRPr="005E487C">
        <w:rPr>
          <w:rFonts w:ascii="Arial" w:hAnsi="Arial" w:cs="Arial"/>
          <w:b/>
          <w:sz w:val="20"/>
          <w:szCs w:val="20"/>
        </w:rPr>
        <w:t xml:space="preserve">Pain </w:t>
      </w:r>
      <w:r>
        <w:rPr>
          <w:rFonts w:ascii="Arial" w:hAnsi="Arial" w:cs="Arial"/>
          <w:b/>
          <w:sz w:val="20"/>
          <w:szCs w:val="20"/>
        </w:rPr>
        <w:t>Management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:  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The mechanism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of pain 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is poorly understood, but is thought to be </w:t>
      </w:r>
      <w:r>
        <w:rPr>
          <w:rFonts w:ascii="Arial" w:hAnsi="Arial" w:cs="Arial"/>
          <w:color w:val="000000" w:themeColor="text1"/>
          <w:sz w:val="20"/>
          <w:szCs w:val="20"/>
        </w:rPr>
        <w:t>due to ischemia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>
        <w:rPr>
          <w:rFonts w:ascii="Arial" w:hAnsi="Arial" w:cs="Arial"/>
          <w:color w:val="000000" w:themeColor="text1"/>
          <w:sz w:val="20"/>
          <w:szCs w:val="20"/>
        </w:rPr>
        <w:t>resultant nerve damage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No controlled studies have confirmed an optimal analgesic approach.  However, case series suggest that combining aggressive wound care with an analgesia regimen consisting of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 opioids, ketamine,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non-opioid adjuvants (e.g., gabapentin or tricyclic antidepressants) can be effective (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>4). F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>entanyl</w:t>
      </w:r>
      <w:r>
        <w:rPr>
          <w:rFonts w:ascii="Arial" w:hAnsi="Arial" w:cs="Arial"/>
          <w:color w:val="000000" w:themeColor="text1"/>
          <w:sz w:val="20"/>
          <w:szCs w:val="20"/>
        </w:rPr>
        <w:t>, b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uprenorphine </w:t>
      </w:r>
      <w:r>
        <w:rPr>
          <w:rFonts w:ascii="Arial" w:hAnsi="Arial" w:cs="Arial"/>
          <w:color w:val="000000" w:themeColor="text1"/>
          <w:sz w:val="20"/>
          <w:szCs w:val="20"/>
        </w:rPr>
        <w:t>and m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ethadone </w:t>
      </w:r>
      <w:r>
        <w:rPr>
          <w:rFonts w:ascii="Arial" w:hAnsi="Arial" w:cs="Arial"/>
          <w:color w:val="000000" w:themeColor="text1"/>
          <w:sz w:val="20"/>
          <w:szCs w:val="20"/>
        </w:rPr>
        <w:t>do not have known renal metabolites and thus may be associated with less opioid toxicity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The use of topical ketamine or topical opioids, such as morphine-infused gels may offer local pain control with potentially less systemic side effects, but</w:t>
      </w:r>
      <w:r w:rsidRPr="005159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this has not yet been studied (see </w:t>
      </w:r>
      <w:r w:rsidRPr="0082052A">
        <w:rPr>
          <w:rFonts w:ascii="Arial" w:hAnsi="Arial" w:cs="Arial"/>
          <w:i/>
          <w:color w:val="000000" w:themeColor="text1"/>
          <w:sz w:val="20"/>
          <w:szCs w:val="20"/>
        </w:rPr>
        <w:t>Fast Facts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# 185). Amputation remains an option in cases of refractory pain.  </w:t>
      </w:r>
    </w:p>
    <w:p w:rsidR="00E867E5" w:rsidRPr="0051597E" w:rsidRDefault="00E867E5" w:rsidP="00E867E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867E5" w:rsidRDefault="00E867E5" w:rsidP="00E867E5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Advance Care Planning:  </w:t>
      </w:r>
      <w:r>
        <w:rPr>
          <w:rFonts w:ascii="Arial" w:hAnsi="Arial" w:cs="Arial"/>
          <w:sz w:val="20"/>
          <w:szCs w:val="20"/>
        </w:rPr>
        <w:t xml:space="preserve">Considering the one-year mortality risk, the diagnosis of </w:t>
      </w:r>
      <w:proofErr w:type="spellStart"/>
      <w:r>
        <w:rPr>
          <w:rFonts w:ascii="Arial" w:hAnsi="Arial" w:cs="Arial"/>
          <w:sz w:val="20"/>
          <w:szCs w:val="20"/>
        </w:rPr>
        <w:t>calciphylaxis</w:t>
      </w:r>
      <w:proofErr w:type="spellEnd"/>
      <w:r>
        <w:rPr>
          <w:rFonts w:ascii="Arial" w:hAnsi="Arial" w:cs="Arial"/>
          <w:sz w:val="20"/>
          <w:szCs w:val="20"/>
        </w:rPr>
        <w:t xml:space="preserve"> should prompt clinicians to engage patients and families in a larger discussion regarding advance directives, prognosis, and goals of care.  </w:t>
      </w:r>
      <w:r>
        <w:rPr>
          <w:rFonts w:ascii="Arial" w:eastAsiaTheme="minorEastAsia" w:hAnsi="Arial" w:cs="Arial"/>
          <w:sz w:val="20"/>
          <w:szCs w:val="20"/>
        </w:rPr>
        <w:t xml:space="preserve">A potential decision-point is whether to withhold or withdraw hemodialysis when </w:t>
      </w:r>
      <w:proofErr w:type="spellStart"/>
      <w:r>
        <w:rPr>
          <w:rFonts w:ascii="Arial" w:eastAsiaTheme="minorEastAsia" w:hAnsi="Arial" w:cs="Arial"/>
          <w:sz w:val="20"/>
          <w:szCs w:val="20"/>
        </w:rPr>
        <w:t>calciphylaxis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is diagnosed. Patients may not be aware that stopping dialysis is a viable care option unless raised by a clinician.  </w:t>
      </w:r>
      <w:r>
        <w:rPr>
          <w:rFonts w:ascii="Arial" w:eastAsiaTheme="minorEastAsia" w:hAnsi="Arial" w:cs="Arial"/>
          <w:sz w:val="20"/>
          <w:szCs w:val="20"/>
        </w:rPr>
        <w:lastRenderedPageBreak/>
        <w:t xml:space="preserve">Clinicians, however, should be aware that the decision to stop hemodialysis can be exceedingly complex and dependent upon a variety of factors such as patient-defined quality of life, symptom burden, prognosis, and care location preferences (see </w:t>
      </w:r>
      <w:r w:rsidRPr="006F209B">
        <w:rPr>
          <w:rFonts w:ascii="Arial" w:eastAsiaTheme="minorEastAsia" w:hAnsi="Arial" w:cs="Arial"/>
          <w:i/>
          <w:sz w:val="20"/>
          <w:szCs w:val="20"/>
        </w:rPr>
        <w:t>Fast Fact</w:t>
      </w:r>
      <w:r>
        <w:rPr>
          <w:rFonts w:ascii="Arial" w:eastAsiaTheme="minorEastAsia" w:hAnsi="Arial" w:cs="Arial"/>
          <w:sz w:val="20"/>
          <w:szCs w:val="20"/>
        </w:rPr>
        <w:t xml:space="preserve"> #163).  While the Medicare Hospice Benefit (MHB) can provide important care resources and support for patients with </w:t>
      </w:r>
      <w:proofErr w:type="spellStart"/>
      <w:r>
        <w:rPr>
          <w:rFonts w:ascii="Arial" w:eastAsiaTheme="minorEastAsia" w:hAnsi="Arial" w:cs="Arial"/>
          <w:sz w:val="20"/>
          <w:szCs w:val="20"/>
        </w:rPr>
        <w:t>calciphylaxis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, MHB patients are typically unable to continue dialysis with a hospice admitting diagnosis of ESRD.  Thus, even a discussion of hospice can be challenging to navigate for many clinicians.  </w:t>
      </w:r>
      <w:r>
        <w:rPr>
          <w:rFonts w:ascii="Arial" w:hAnsi="Arial" w:cs="Arial"/>
          <w:sz w:val="20"/>
          <w:szCs w:val="20"/>
        </w:rPr>
        <w:t>G</w:t>
      </w:r>
      <w:r w:rsidRPr="002406B5">
        <w:rPr>
          <w:rFonts w:ascii="Arial" w:hAnsi="Arial" w:cs="Arial"/>
          <w:sz w:val="20"/>
          <w:szCs w:val="20"/>
        </w:rPr>
        <w:t xml:space="preserve">iven </w:t>
      </w:r>
      <w:r>
        <w:rPr>
          <w:rFonts w:ascii="Arial" w:hAnsi="Arial" w:cs="Arial"/>
          <w:sz w:val="20"/>
          <w:szCs w:val="20"/>
        </w:rPr>
        <w:t xml:space="preserve">their </w:t>
      </w:r>
      <w:r w:rsidRPr="002406B5">
        <w:rPr>
          <w:rFonts w:ascii="Arial" w:hAnsi="Arial" w:cs="Arial"/>
          <w:sz w:val="20"/>
          <w:szCs w:val="20"/>
        </w:rPr>
        <w:t>skill</w:t>
      </w:r>
      <w:r>
        <w:rPr>
          <w:rFonts w:ascii="Arial" w:hAnsi="Arial" w:cs="Arial"/>
          <w:sz w:val="20"/>
          <w:szCs w:val="20"/>
        </w:rPr>
        <w:t>s</w:t>
      </w:r>
      <w:r w:rsidRPr="002406B5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managing </w:t>
      </w:r>
      <w:r w:rsidRPr="002406B5">
        <w:rPr>
          <w:rFonts w:ascii="Arial" w:hAnsi="Arial" w:cs="Arial"/>
          <w:sz w:val="20"/>
          <w:szCs w:val="20"/>
        </w:rPr>
        <w:t>complex analgesic regimens</w:t>
      </w:r>
      <w:r>
        <w:rPr>
          <w:rFonts w:ascii="Arial" w:hAnsi="Arial" w:cs="Arial"/>
          <w:sz w:val="20"/>
          <w:szCs w:val="20"/>
        </w:rPr>
        <w:t xml:space="preserve"> and their </w:t>
      </w:r>
      <w:r w:rsidRPr="002406B5">
        <w:rPr>
          <w:rFonts w:ascii="Arial" w:hAnsi="Arial" w:cs="Arial"/>
          <w:sz w:val="20"/>
          <w:szCs w:val="20"/>
        </w:rPr>
        <w:t xml:space="preserve">multidisciplinary approach to </w:t>
      </w:r>
      <w:r>
        <w:rPr>
          <w:rFonts w:ascii="Arial" w:hAnsi="Arial" w:cs="Arial"/>
          <w:sz w:val="20"/>
          <w:szCs w:val="20"/>
        </w:rPr>
        <w:t>clinical, psychological, spiritual, and social care,</w:t>
      </w:r>
      <w:r w:rsidRPr="00240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2406B5">
        <w:rPr>
          <w:rFonts w:ascii="Arial" w:hAnsi="Arial" w:cs="Arial"/>
          <w:sz w:val="20"/>
          <w:szCs w:val="20"/>
        </w:rPr>
        <w:t xml:space="preserve">he involvement of a specialist palliative care team </w:t>
      </w:r>
      <w:r>
        <w:rPr>
          <w:rFonts w:ascii="Arial" w:hAnsi="Arial" w:cs="Arial"/>
          <w:sz w:val="20"/>
          <w:szCs w:val="20"/>
        </w:rPr>
        <w:t>can be helpful when discussing withholding or withholding dialysis</w:t>
      </w:r>
      <w:r>
        <w:rPr>
          <w:rFonts w:ascii="Arial" w:eastAsiaTheme="minorEastAsia" w:hAnsi="Arial" w:cs="Arial"/>
          <w:sz w:val="20"/>
          <w:szCs w:val="20"/>
        </w:rPr>
        <w:t xml:space="preserve">. </w:t>
      </w:r>
    </w:p>
    <w:p w:rsidR="00E867E5" w:rsidRDefault="00E867E5" w:rsidP="00F777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67E5" w:rsidRDefault="00E867E5" w:rsidP="00E867E5">
      <w:pPr>
        <w:rPr>
          <w:rFonts w:ascii="Arial" w:hAnsi="Arial" w:cs="Arial"/>
          <w:b/>
          <w:sz w:val="20"/>
          <w:szCs w:val="20"/>
        </w:rPr>
      </w:pPr>
      <w:r w:rsidRPr="000F3767">
        <w:rPr>
          <w:rFonts w:ascii="Arial" w:hAnsi="Arial" w:cs="Arial"/>
          <w:b/>
          <w:sz w:val="20"/>
          <w:szCs w:val="20"/>
        </w:rPr>
        <w:t>References</w:t>
      </w:r>
    </w:p>
    <w:p w:rsidR="00E867E5" w:rsidRPr="00ED7711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7711">
        <w:rPr>
          <w:rFonts w:ascii="Arial" w:hAnsi="Arial" w:cs="Arial"/>
          <w:sz w:val="20"/>
          <w:szCs w:val="20"/>
        </w:rPr>
        <w:t xml:space="preserve">Angelis M, Wong LL, Myers SA, Wong LM. 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in patients on hemodialysis: a prevalence study. Surgery. 1997:122(6):1083-1090.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7711">
        <w:rPr>
          <w:rFonts w:ascii="Arial" w:hAnsi="Arial" w:cs="Arial"/>
          <w:sz w:val="20"/>
          <w:szCs w:val="20"/>
        </w:rPr>
        <w:t xml:space="preserve">Fine A, Zacharias J. 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is usually non-ulcerating: risk factors, outcome and therapy. Kidney Int. 2002;61(6):2210-2217.</w:t>
      </w:r>
    </w:p>
    <w:p w:rsidR="00E867E5" w:rsidRPr="003229C7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848B0">
        <w:rPr>
          <w:rFonts w:ascii="Arial" w:hAnsi="Arial" w:cs="Arial"/>
          <w:color w:val="000000"/>
          <w:sz w:val="20"/>
          <w:szCs w:val="20"/>
        </w:rPr>
        <w:t xml:space="preserve">Sowers KM, Hayden MR. </w:t>
      </w:r>
      <w:r w:rsidRPr="009848B0">
        <w:rPr>
          <w:rStyle w:val="highlight"/>
          <w:rFonts w:ascii="Arial" w:hAnsi="Arial" w:cs="Arial"/>
          <w:color w:val="000000"/>
          <w:sz w:val="20"/>
          <w:szCs w:val="20"/>
        </w:rPr>
        <w:t>Calcific</w:t>
      </w:r>
      <w:r w:rsidRPr="009848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48B0">
        <w:rPr>
          <w:rStyle w:val="highlight"/>
          <w:rFonts w:ascii="Arial" w:hAnsi="Arial" w:cs="Arial"/>
          <w:color w:val="000000"/>
          <w:sz w:val="20"/>
          <w:szCs w:val="20"/>
        </w:rPr>
        <w:t>uremic</w:t>
      </w:r>
      <w:r w:rsidRPr="009848B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848B0">
        <w:rPr>
          <w:rStyle w:val="highlight"/>
          <w:rFonts w:ascii="Arial" w:hAnsi="Arial" w:cs="Arial"/>
          <w:color w:val="000000"/>
          <w:sz w:val="20"/>
          <w:szCs w:val="20"/>
        </w:rPr>
        <w:t>arteriolopathy</w:t>
      </w:r>
      <w:proofErr w:type="spellEnd"/>
      <w:r w:rsidRPr="009848B0">
        <w:rPr>
          <w:rFonts w:ascii="Arial" w:hAnsi="Arial" w:cs="Arial"/>
          <w:color w:val="000000"/>
          <w:sz w:val="20"/>
          <w:szCs w:val="20"/>
        </w:rPr>
        <w:t xml:space="preserve">: pathophysiology, </w:t>
      </w:r>
      <w:r w:rsidRPr="009848B0">
        <w:rPr>
          <w:rStyle w:val="highlight"/>
          <w:rFonts w:ascii="Arial" w:hAnsi="Arial" w:cs="Arial"/>
          <w:color w:val="000000"/>
          <w:sz w:val="20"/>
          <w:szCs w:val="20"/>
        </w:rPr>
        <w:t>reactive oxygen species</w:t>
      </w:r>
      <w:r w:rsidRPr="009848B0">
        <w:rPr>
          <w:rFonts w:ascii="Arial" w:hAnsi="Arial" w:cs="Arial"/>
          <w:color w:val="000000"/>
          <w:sz w:val="20"/>
          <w:szCs w:val="20"/>
        </w:rPr>
        <w:t xml:space="preserve"> and therapeutic approaches. </w:t>
      </w:r>
      <w:proofErr w:type="spellStart"/>
      <w:r w:rsidRPr="009848B0">
        <w:rPr>
          <w:rFonts w:ascii="Arial" w:hAnsi="Arial" w:cs="Arial"/>
          <w:color w:val="000000"/>
          <w:sz w:val="20"/>
          <w:szCs w:val="20"/>
        </w:rPr>
        <w:t>Ox</w:t>
      </w:r>
      <w:r>
        <w:rPr>
          <w:rFonts w:ascii="Arial" w:hAnsi="Arial" w:cs="Arial"/>
          <w:color w:val="000000"/>
          <w:sz w:val="20"/>
          <w:szCs w:val="20"/>
        </w:rPr>
        <w:t>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Med Cell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Longev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2010</w:t>
      </w:r>
      <w:r w:rsidRPr="009848B0">
        <w:rPr>
          <w:rFonts w:ascii="Arial" w:hAnsi="Arial" w:cs="Arial"/>
          <w:color w:val="000000"/>
          <w:sz w:val="20"/>
          <w:szCs w:val="20"/>
        </w:rPr>
        <w:t>;3(2):109-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9848B0">
        <w:rPr>
          <w:rFonts w:ascii="Arial" w:hAnsi="Arial" w:cs="Arial"/>
          <w:color w:val="000000"/>
          <w:sz w:val="20"/>
          <w:szCs w:val="20"/>
        </w:rPr>
        <w:t>21.</w:t>
      </w:r>
    </w:p>
    <w:p w:rsidR="00E867E5" w:rsidRPr="006D167E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48B0">
        <w:rPr>
          <w:rFonts w:ascii="Arial" w:hAnsi="Arial" w:cs="Arial"/>
          <w:color w:val="000000"/>
          <w:sz w:val="20"/>
          <w:szCs w:val="20"/>
        </w:rPr>
        <w:t>Mazhar</w:t>
      </w:r>
      <w:proofErr w:type="spellEnd"/>
      <w:r w:rsidRPr="009848B0">
        <w:rPr>
          <w:rFonts w:ascii="Arial" w:hAnsi="Arial" w:cs="Arial"/>
          <w:color w:val="000000"/>
          <w:sz w:val="20"/>
          <w:szCs w:val="20"/>
        </w:rPr>
        <w:t xml:space="preserve"> AR, Johnson RJ, Gillen D, </w:t>
      </w:r>
      <w:proofErr w:type="spellStart"/>
      <w:r w:rsidRPr="009848B0">
        <w:rPr>
          <w:rFonts w:ascii="Arial" w:hAnsi="Arial" w:cs="Arial"/>
          <w:color w:val="000000"/>
          <w:sz w:val="20"/>
          <w:szCs w:val="20"/>
        </w:rPr>
        <w:t>Stivelman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JC</w:t>
      </w:r>
      <w:r w:rsidRPr="009848B0">
        <w:rPr>
          <w:rFonts w:ascii="Arial" w:hAnsi="Arial" w:cs="Arial"/>
          <w:color w:val="000000"/>
          <w:sz w:val="20"/>
          <w:szCs w:val="20"/>
        </w:rPr>
        <w:t xml:space="preserve">, Ryan MJ, Davis CL, </w:t>
      </w:r>
      <w:proofErr w:type="spellStart"/>
      <w:r w:rsidRPr="009848B0">
        <w:rPr>
          <w:rFonts w:ascii="Arial" w:hAnsi="Arial" w:cs="Arial"/>
          <w:color w:val="000000"/>
          <w:sz w:val="20"/>
          <w:szCs w:val="20"/>
        </w:rPr>
        <w:t>Stehman</w:t>
      </w:r>
      <w:proofErr w:type="spellEnd"/>
      <w:r w:rsidRPr="009848B0">
        <w:rPr>
          <w:rFonts w:ascii="Arial" w:hAnsi="Arial" w:cs="Arial"/>
          <w:color w:val="000000"/>
          <w:sz w:val="20"/>
          <w:szCs w:val="20"/>
        </w:rPr>
        <w:t xml:space="preserve">-Breen CO. Risk factors and mortality associated with </w:t>
      </w:r>
      <w:proofErr w:type="spellStart"/>
      <w:r w:rsidRPr="009848B0">
        <w:rPr>
          <w:rFonts w:ascii="Arial" w:hAnsi="Arial" w:cs="Arial"/>
          <w:color w:val="000000"/>
          <w:sz w:val="20"/>
          <w:szCs w:val="20"/>
        </w:rPr>
        <w:t>calciphylaxis</w:t>
      </w:r>
      <w:proofErr w:type="spellEnd"/>
      <w:r w:rsidRPr="009848B0">
        <w:rPr>
          <w:rFonts w:ascii="Arial" w:hAnsi="Arial" w:cs="Arial"/>
          <w:color w:val="000000"/>
          <w:sz w:val="20"/>
          <w:szCs w:val="20"/>
        </w:rPr>
        <w:t xml:space="preserve"> in end-stage renal disease. Kid</w:t>
      </w:r>
      <w:r>
        <w:rPr>
          <w:rFonts w:ascii="Arial" w:hAnsi="Arial" w:cs="Arial"/>
          <w:color w:val="000000"/>
          <w:sz w:val="20"/>
          <w:szCs w:val="20"/>
        </w:rPr>
        <w:t>ney</w:t>
      </w:r>
      <w:r w:rsidRPr="009848B0">
        <w:rPr>
          <w:rFonts w:ascii="Arial" w:hAnsi="Arial" w:cs="Arial"/>
          <w:color w:val="000000"/>
          <w:sz w:val="20"/>
          <w:szCs w:val="20"/>
        </w:rPr>
        <w:t xml:space="preserve"> Int. 2001;60</w:t>
      </w:r>
      <w:r>
        <w:rPr>
          <w:rFonts w:ascii="Arial" w:hAnsi="Arial" w:cs="Arial"/>
          <w:color w:val="000000"/>
          <w:sz w:val="20"/>
          <w:szCs w:val="20"/>
        </w:rPr>
        <w:t>(1)</w:t>
      </w:r>
      <w:r w:rsidRPr="009848B0">
        <w:rPr>
          <w:rFonts w:ascii="Arial" w:hAnsi="Arial" w:cs="Arial"/>
          <w:color w:val="000000"/>
          <w:sz w:val="20"/>
          <w:szCs w:val="20"/>
        </w:rPr>
        <w:t>:324-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9848B0">
        <w:rPr>
          <w:rFonts w:ascii="Arial" w:hAnsi="Arial" w:cs="Arial"/>
          <w:color w:val="000000"/>
          <w:sz w:val="20"/>
          <w:szCs w:val="20"/>
        </w:rPr>
        <w:t>32.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848B0">
        <w:rPr>
          <w:rFonts w:ascii="Arial" w:hAnsi="Arial" w:cs="Arial"/>
          <w:sz w:val="20"/>
          <w:szCs w:val="20"/>
        </w:rPr>
        <w:t>Wilmer W</w:t>
      </w:r>
      <w:r>
        <w:rPr>
          <w:rFonts w:ascii="Arial" w:hAnsi="Arial" w:cs="Arial"/>
          <w:sz w:val="20"/>
          <w:szCs w:val="20"/>
        </w:rPr>
        <w:t xml:space="preserve">A, </w:t>
      </w:r>
      <w:proofErr w:type="spellStart"/>
      <w:r w:rsidRPr="009848B0">
        <w:rPr>
          <w:rFonts w:ascii="Arial" w:hAnsi="Arial" w:cs="Arial"/>
          <w:sz w:val="20"/>
          <w:szCs w:val="20"/>
        </w:rPr>
        <w:t>Magro</w:t>
      </w:r>
      <w:proofErr w:type="spellEnd"/>
      <w:r w:rsidRPr="009848B0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M</w:t>
      </w:r>
      <w:r w:rsidRPr="009848B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848B0">
        <w:rPr>
          <w:rFonts w:ascii="Arial" w:hAnsi="Arial" w:cs="Arial"/>
          <w:sz w:val="20"/>
          <w:szCs w:val="20"/>
        </w:rPr>
        <w:t>Calciphy</w:t>
      </w:r>
      <w:r>
        <w:rPr>
          <w:rFonts w:ascii="Arial" w:hAnsi="Arial" w:cs="Arial"/>
          <w:sz w:val="20"/>
          <w:szCs w:val="20"/>
        </w:rPr>
        <w:t>laxis</w:t>
      </w:r>
      <w:proofErr w:type="spellEnd"/>
      <w:r>
        <w:rPr>
          <w:rFonts w:ascii="Arial" w:hAnsi="Arial" w:cs="Arial"/>
          <w:sz w:val="20"/>
          <w:szCs w:val="20"/>
        </w:rPr>
        <w:t>: emerging concepts in prevention, diagnosis and t</w:t>
      </w:r>
      <w:r w:rsidRPr="009848B0">
        <w:rPr>
          <w:rFonts w:ascii="Arial" w:hAnsi="Arial" w:cs="Arial"/>
          <w:sz w:val="20"/>
          <w:szCs w:val="20"/>
        </w:rPr>
        <w:t xml:space="preserve">reatment. </w:t>
      </w:r>
      <w:proofErr w:type="spellStart"/>
      <w:r w:rsidRPr="009848B0">
        <w:rPr>
          <w:rFonts w:ascii="Arial" w:hAnsi="Arial" w:cs="Arial"/>
          <w:sz w:val="20"/>
          <w:szCs w:val="20"/>
        </w:rPr>
        <w:t>Semin</w:t>
      </w:r>
      <w:proofErr w:type="spellEnd"/>
      <w:r w:rsidRPr="009848B0">
        <w:rPr>
          <w:rFonts w:ascii="Arial" w:hAnsi="Arial" w:cs="Arial"/>
          <w:sz w:val="20"/>
          <w:szCs w:val="20"/>
        </w:rPr>
        <w:t xml:space="preserve"> Dial. 2002;15(3):172-</w:t>
      </w:r>
      <w:r>
        <w:rPr>
          <w:rFonts w:ascii="Arial" w:hAnsi="Arial" w:cs="Arial"/>
          <w:sz w:val="20"/>
          <w:szCs w:val="20"/>
        </w:rPr>
        <w:t>1</w:t>
      </w:r>
      <w:r w:rsidRPr="009848B0">
        <w:rPr>
          <w:rFonts w:ascii="Arial" w:hAnsi="Arial" w:cs="Arial"/>
          <w:sz w:val="20"/>
          <w:szCs w:val="20"/>
        </w:rPr>
        <w:t>86.</w:t>
      </w:r>
    </w:p>
    <w:p w:rsidR="00E867E5" w:rsidRPr="00ED7711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7711">
        <w:rPr>
          <w:rFonts w:ascii="Arial" w:hAnsi="Arial" w:cs="Arial"/>
          <w:sz w:val="20"/>
          <w:szCs w:val="20"/>
        </w:rPr>
        <w:t xml:space="preserve">Farah M, Crawford RI, Levin A, Yan CC. 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in the current era: emerging ‘ironic’ features? </w:t>
      </w:r>
      <w:proofErr w:type="spellStart"/>
      <w:r w:rsidRPr="00ED7711">
        <w:rPr>
          <w:rFonts w:ascii="Arial" w:hAnsi="Arial" w:cs="Arial"/>
          <w:sz w:val="20"/>
          <w:szCs w:val="20"/>
        </w:rPr>
        <w:t>Nephrol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Dial Transplant. </w:t>
      </w:r>
      <w:proofErr w:type="gramStart"/>
      <w:r w:rsidRPr="00ED7711">
        <w:rPr>
          <w:rFonts w:ascii="Arial" w:hAnsi="Arial" w:cs="Arial"/>
          <w:sz w:val="20"/>
          <w:szCs w:val="20"/>
        </w:rPr>
        <w:t>2011;26:191</w:t>
      </w:r>
      <w:proofErr w:type="gramEnd"/>
      <w:r w:rsidRPr="00ED7711">
        <w:rPr>
          <w:rFonts w:ascii="Arial" w:hAnsi="Arial" w:cs="Arial"/>
          <w:sz w:val="20"/>
          <w:szCs w:val="20"/>
        </w:rPr>
        <w:t>-195.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D7711">
        <w:rPr>
          <w:rFonts w:ascii="Arial" w:hAnsi="Arial" w:cs="Arial"/>
          <w:sz w:val="20"/>
          <w:szCs w:val="20"/>
        </w:rPr>
        <w:t>Nigwekar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SU, </w:t>
      </w:r>
      <w:proofErr w:type="spellStart"/>
      <w:r w:rsidRPr="00ED7711">
        <w:rPr>
          <w:rFonts w:ascii="Arial" w:hAnsi="Arial" w:cs="Arial"/>
          <w:sz w:val="20"/>
          <w:szCs w:val="20"/>
        </w:rPr>
        <w:t>Kroshinsky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ED7711">
        <w:rPr>
          <w:rFonts w:ascii="Arial" w:hAnsi="Arial" w:cs="Arial"/>
          <w:sz w:val="20"/>
          <w:szCs w:val="20"/>
        </w:rPr>
        <w:t>Nazarian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RM, </w:t>
      </w:r>
      <w:proofErr w:type="spellStart"/>
      <w:r w:rsidRPr="00ED7711">
        <w:rPr>
          <w:rFonts w:ascii="Arial" w:hAnsi="Arial" w:cs="Arial"/>
          <w:sz w:val="20"/>
          <w:szCs w:val="20"/>
        </w:rPr>
        <w:t>Goverman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J, Malhotra R, Jackson VA, Kamdar MM, Steele DJR, </w:t>
      </w:r>
      <w:proofErr w:type="spellStart"/>
      <w:r w:rsidRPr="00ED7711">
        <w:rPr>
          <w:rFonts w:ascii="Arial" w:hAnsi="Arial" w:cs="Arial"/>
          <w:sz w:val="20"/>
          <w:szCs w:val="20"/>
        </w:rPr>
        <w:t>Thadhani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RI. 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>: risk factors, diagnosis, and treatment. Am J Kidney Dis. 2015;66(1):133-146.</w:t>
      </w:r>
    </w:p>
    <w:p w:rsidR="00E867E5" w:rsidRPr="007C395B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F7F28">
        <w:rPr>
          <w:rFonts w:ascii="Arial" w:hAnsi="Arial" w:cs="Arial"/>
          <w:sz w:val="20"/>
          <w:szCs w:val="20"/>
        </w:rPr>
        <w:t>Weenig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RH, Sewell LD, Davis MDP, McCarthy JT, </w:t>
      </w:r>
      <w:proofErr w:type="spellStart"/>
      <w:r w:rsidRPr="004F7F28">
        <w:rPr>
          <w:rFonts w:ascii="Arial" w:hAnsi="Arial" w:cs="Arial"/>
          <w:sz w:val="20"/>
          <w:szCs w:val="20"/>
        </w:rPr>
        <w:t>Pittelkow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MR. </w:t>
      </w:r>
      <w:proofErr w:type="spellStart"/>
      <w:r w:rsidRPr="004F7F28">
        <w:rPr>
          <w:rFonts w:ascii="Arial" w:hAnsi="Arial" w:cs="Arial"/>
          <w:sz w:val="20"/>
          <w:szCs w:val="20"/>
        </w:rPr>
        <w:t>Calciphylaxis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: natural history, risk factor analysis, and outcome. J Am </w:t>
      </w:r>
      <w:proofErr w:type="spellStart"/>
      <w:r w:rsidRPr="004F7F28">
        <w:rPr>
          <w:rFonts w:ascii="Arial" w:hAnsi="Arial" w:cs="Arial"/>
          <w:sz w:val="20"/>
          <w:szCs w:val="20"/>
        </w:rPr>
        <w:t>Acad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F28">
        <w:rPr>
          <w:rFonts w:ascii="Arial" w:hAnsi="Arial" w:cs="Arial"/>
          <w:sz w:val="20"/>
          <w:szCs w:val="20"/>
        </w:rPr>
        <w:t>Dermatol</w:t>
      </w:r>
      <w:proofErr w:type="spellEnd"/>
      <w:r w:rsidRPr="004F7F28">
        <w:rPr>
          <w:rFonts w:ascii="Arial" w:hAnsi="Arial" w:cs="Arial"/>
          <w:sz w:val="20"/>
          <w:szCs w:val="20"/>
        </w:rPr>
        <w:t>. 2006;56(4):569-579.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D7711">
        <w:rPr>
          <w:rFonts w:ascii="Arial" w:hAnsi="Arial" w:cs="Arial"/>
          <w:sz w:val="20"/>
          <w:szCs w:val="20"/>
        </w:rPr>
        <w:t>Janigan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DT, Hirsch DJ, Klassen GA, MacDonald AS. Calcified subcutaneous arterioles with infarcts of the </w:t>
      </w:r>
      <w:proofErr w:type="spellStart"/>
      <w:r w:rsidRPr="00ED7711">
        <w:rPr>
          <w:rFonts w:ascii="Arial" w:hAnsi="Arial" w:cs="Arial"/>
          <w:sz w:val="20"/>
          <w:szCs w:val="20"/>
        </w:rPr>
        <w:t>subcutis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and skin ("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>") in chronic renal failure. Am J Kidney Dis. 2000;35(4):588-597.</w:t>
      </w:r>
    </w:p>
    <w:p w:rsidR="00E867E5" w:rsidRPr="006D167E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F7F28">
        <w:rPr>
          <w:rFonts w:ascii="Arial" w:hAnsi="Arial" w:cs="Arial"/>
          <w:sz w:val="20"/>
          <w:szCs w:val="20"/>
        </w:rPr>
        <w:t>Bleibel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W, </w:t>
      </w:r>
      <w:proofErr w:type="spellStart"/>
      <w:r w:rsidRPr="004F7F28">
        <w:rPr>
          <w:rFonts w:ascii="Arial" w:hAnsi="Arial" w:cs="Arial"/>
          <w:sz w:val="20"/>
          <w:szCs w:val="20"/>
        </w:rPr>
        <w:t>Hazar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B, Herman R. A case report comparing various radiological tests in the diagnosis of calcific uremic </w:t>
      </w:r>
      <w:proofErr w:type="spellStart"/>
      <w:r w:rsidRPr="004F7F28">
        <w:rPr>
          <w:rFonts w:ascii="Arial" w:hAnsi="Arial" w:cs="Arial"/>
          <w:sz w:val="20"/>
          <w:szCs w:val="20"/>
        </w:rPr>
        <w:t>arteriolopathy</w:t>
      </w:r>
      <w:proofErr w:type="spellEnd"/>
      <w:r w:rsidRPr="004F7F28">
        <w:rPr>
          <w:rFonts w:ascii="Arial" w:hAnsi="Arial" w:cs="Arial"/>
          <w:sz w:val="20"/>
          <w:szCs w:val="20"/>
        </w:rPr>
        <w:t>. Am J Kidney Dis. 2006;48(4):659-661.</w:t>
      </w:r>
    </w:p>
    <w:p w:rsidR="00E867E5" w:rsidRPr="00ED7711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7711">
        <w:rPr>
          <w:rFonts w:ascii="Arial" w:hAnsi="Arial" w:cs="Arial"/>
          <w:sz w:val="20"/>
          <w:szCs w:val="20"/>
        </w:rPr>
        <w:t xml:space="preserve">Velasco N, MacGregor MS, Innes A, MacKay IG. Successful treatment of </w:t>
      </w:r>
      <w:proofErr w:type="spellStart"/>
      <w:r w:rsidRPr="00ED7711">
        <w:rPr>
          <w:rFonts w:ascii="Arial" w:hAnsi="Arial" w:cs="Arial"/>
          <w:sz w:val="20"/>
          <w:szCs w:val="20"/>
        </w:rPr>
        <w:t>calciphylaxis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ED7711">
        <w:rPr>
          <w:rFonts w:ascii="Arial" w:hAnsi="Arial" w:cs="Arial"/>
          <w:sz w:val="20"/>
          <w:szCs w:val="20"/>
        </w:rPr>
        <w:t>cinacalcet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– an alternative to parathyroidectomy? </w:t>
      </w:r>
      <w:proofErr w:type="spellStart"/>
      <w:r w:rsidRPr="00ED7711">
        <w:rPr>
          <w:rFonts w:ascii="Arial" w:hAnsi="Arial" w:cs="Arial"/>
          <w:sz w:val="20"/>
          <w:szCs w:val="20"/>
        </w:rPr>
        <w:t>Nephrol</w:t>
      </w:r>
      <w:proofErr w:type="spellEnd"/>
      <w:r w:rsidRPr="00ED7711">
        <w:rPr>
          <w:rFonts w:ascii="Arial" w:hAnsi="Arial" w:cs="Arial"/>
          <w:sz w:val="20"/>
          <w:szCs w:val="20"/>
        </w:rPr>
        <w:t xml:space="preserve"> Dial Transplant. 2006;21(7):1999-2004.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F7F28">
        <w:rPr>
          <w:rFonts w:ascii="Arial" w:hAnsi="Arial" w:cs="Arial"/>
          <w:sz w:val="20"/>
          <w:szCs w:val="20"/>
        </w:rPr>
        <w:t>Cicone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JS, </w:t>
      </w:r>
      <w:proofErr w:type="spellStart"/>
      <w:r w:rsidRPr="004F7F28">
        <w:rPr>
          <w:rFonts w:ascii="Arial" w:hAnsi="Arial" w:cs="Arial"/>
          <w:sz w:val="20"/>
          <w:szCs w:val="20"/>
        </w:rPr>
        <w:t>Petronis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JB, </w:t>
      </w:r>
      <w:proofErr w:type="spellStart"/>
      <w:r w:rsidRPr="004F7F28">
        <w:rPr>
          <w:rFonts w:ascii="Arial" w:hAnsi="Arial" w:cs="Arial"/>
          <w:sz w:val="20"/>
          <w:szCs w:val="20"/>
        </w:rPr>
        <w:t>Embert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CD, Spector DA. Successful treatment of </w:t>
      </w:r>
      <w:proofErr w:type="spellStart"/>
      <w:r w:rsidRPr="004F7F28">
        <w:rPr>
          <w:rFonts w:ascii="Arial" w:hAnsi="Arial" w:cs="Arial"/>
          <w:sz w:val="20"/>
          <w:szCs w:val="20"/>
        </w:rPr>
        <w:t>calciphylaxis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with intravenous sodium thiosulfate. Am J Kidney Dis. 2004;43(6):1104-1108.</w:t>
      </w:r>
    </w:p>
    <w:p w:rsidR="00E867E5" w:rsidRDefault="00E867E5" w:rsidP="00E867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F7F28">
        <w:rPr>
          <w:rFonts w:ascii="Arial" w:hAnsi="Arial" w:cs="Arial"/>
          <w:sz w:val="20"/>
          <w:szCs w:val="20"/>
        </w:rPr>
        <w:t>Basile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4F7F28">
        <w:rPr>
          <w:rFonts w:ascii="Arial" w:hAnsi="Arial" w:cs="Arial"/>
          <w:sz w:val="20"/>
          <w:szCs w:val="20"/>
        </w:rPr>
        <w:t>Montanaro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4F7F28">
        <w:rPr>
          <w:rFonts w:ascii="Arial" w:hAnsi="Arial" w:cs="Arial"/>
          <w:sz w:val="20"/>
          <w:szCs w:val="20"/>
        </w:rPr>
        <w:t>Masi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4F7F28">
        <w:rPr>
          <w:rFonts w:ascii="Arial" w:hAnsi="Arial" w:cs="Arial"/>
          <w:sz w:val="20"/>
          <w:szCs w:val="20"/>
        </w:rPr>
        <w:t>Pati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G, De </w:t>
      </w:r>
      <w:proofErr w:type="spellStart"/>
      <w:r w:rsidRPr="004F7F28">
        <w:rPr>
          <w:rFonts w:ascii="Arial" w:hAnsi="Arial" w:cs="Arial"/>
          <w:sz w:val="20"/>
          <w:szCs w:val="20"/>
        </w:rPr>
        <w:t>Maio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P, </w:t>
      </w:r>
      <w:proofErr w:type="spellStart"/>
      <w:r w:rsidRPr="004F7F28">
        <w:rPr>
          <w:rFonts w:ascii="Arial" w:hAnsi="Arial" w:cs="Arial"/>
          <w:sz w:val="20"/>
          <w:szCs w:val="20"/>
        </w:rPr>
        <w:t>Gismondi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A. Hyperbaric oxygen therapy for calcific uremic </w:t>
      </w:r>
      <w:proofErr w:type="spellStart"/>
      <w:r w:rsidRPr="004F7F28">
        <w:rPr>
          <w:rFonts w:ascii="Arial" w:hAnsi="Arial" w:cs="Arial"/>
          <w:sz w:val="20"/>
          <w:szCs w:val="20"/>
        </w:rPr>
        <w:t>arteriolopathy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: a case series. J </w:t>
      </w:r>
      <w:proofErr w:type="spellStart"/>
      <w:r w:rsidRPr="004F7F28">
        <w:rPr>
          <w:rFonts w:ascii="Arial" w:hAnsi="Arial" w:cs="Arial"/>
          <w:sz w:val="20"/>
          <w:szCs w:val="20"/>
        </w:rPr>
        <w:t>Nephrol</w:t>
      </w:r>
      <w:proofErr w:type="spellEnd"/>
      <w:r w:rsidRPr="004F7F28">
        <w:rPr>
          <w:rFonts w:ascii="Arial" w:hAnsi="Arial" w:cs="Arial"/>
          <w:sz w:val="20"/>
          <w:szCs w:val="20"/>
        </w:rPr>
        <w:t>. 2002;15(6):676-680.</w:t>
      </w:r>
    </w:p>
    <w:p w:rsidR="00F77718" w:rsidRDefault="00E867E5" w:rsidP="00F777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F7F28">
        <w:rPr>
          <w:rFonts w:ascii="Arial" w:hAnsi="Arial" w:cs="Arial"/>
          <w:sz w:val="20"/>
          <w:szCs w:val="20"/>
        </w:rPr>
        <w:t>Polizzotto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 MN, Bryan T, Ashby MA, Martin P. Symptomatic management of </w:t>
      </w:r>
      <w:proofErr w:type="spellStart"/>
      <w:r w:rsidRPr="004F7F28">
        <w:rPr>
          <w:rFonts w:ascii="Arial" w:hAnsi="Arial" w:cs="Arial"/>
          <w:sz w:val="20"/>
          <w:szCs w:val="20"/>
        </w:rPr>
        <w:t>calciphylaxis</w:t>
      </w:r>
      <w:proofErr w:type="spellEnd"/>
      <w:r w:rsidRPr="004F7F28">
        <w:rPr>
          <w:rFonts w:ascii="Arial" w:hAnsi="Arial" w:cs="Arial"/>
          <w:sz w:val="20"/>
          <w:szCs w:val="20"/>
        </w:rPr>
        <w:t xml:space="preserve">: a case series and review of the literature. J Pain Symptom Manage. 2006;32(2):186-190. </w:t>
      </w:r>
    </w:p>
    <w:p w:rsidR="00F77718" w:rsidRDefault="00F77718" w:rsidP="00F7771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F77718" w:rsidRPr="00F77718" w:rsidRDefault="00F77718" w:rsidP="00F77718">
      <w:pPr>
        <w:rPr>
          <w:rFonts w:ascii="Arial" w:hAnsi="Arial" w:cs="Arial"/>
          <w:sz w:val="20"/>
          <w:szCs w:val="20"/>
        </w:rPr>
      </w:pPr>
      <w:r w:rsidRPr="00F77718">
        <w:rPr>
          <w:rFonts w:ascii="Arial" w:hAnsi="Arial" w:cs="Arial"/>
          <w:b/>
          <w:sz w:val="20"/>
          <w:szCs w:val="20"/>
        </w:rPr>
        <w:t>Authors’ Affiliations:</w:t>
      </w:r>
      <w:r w:rsidRPr="00F777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718">
        <w:rPr>
          <w:rFonts w:ascii="Arial" w:hAnsi="Arial" w:cs="Arial"/>
          <w:sz w:val="20"/>
          <w:szCs w:val="20"/>
        </w:rPr>
        <w:t>Geisinger</w:t>
      </w:r>
      <w:proofErr w:type="spellEnd"/>
      <w:r w:rsidRPr="00F77718">
        <w:rPr>
          <w:rFonts w:ascii="Arial" w:hAnsi="Arial" w:cs="Arial"/>
          <w:sz w:val="20"/>
          <w:szCs w:val="20"/>
        </w:rPr>
        <w:t xml:space="preserve"> Medical Center, Danville, Pennsylvania.</w:t>
      </w:r>
    </w:p>
    <w:p w:rsidR="00F77718" w:rsidRPr="00F77718" w:rsidRDefault="00F77718" w:rsidP="00F77718">
      <w:pPr>
        <w:rPr>
          <w:rFonts w:ascii="Arial" w:hAnsi="Arial" w:cs="Arial"/>
          <w:sz w:val="20"/>
          <w:szCs w:val="20"/>
        </w:rPr>
      </w:pPr>
      <w:r w:rsidRPr="00F77718">
        <w:rPr>
          <w:rFonts w:ascii="Arial" w:hAnsi="Arial" w:cs="Arial"/>
          <w:b/>
          <w:sz w:val="20"/>
          <w:szCs w:val="20"/>
        </w:rPr>
        <w:t>Conflicts of Interest</w:t>
      </w:r>
      <w:r w:rsidRPr="00F77718">
        <w:rPr>
          <w:rFonts w:ascii="Arial" w:hAnsi="Arial" w:cs="Arial"/>
          <w:sz w:val="20"/>
          <w:szCs w:val="20"/>
        </w:rPr>
        <w:t>: None</w:t>
      </w:r>
    </w:p>
    <w:p w:rsidR="00F77718" w:rsidRDefault="00F77718" w:rsidP="00F77718">
      <w:pPr>
        <w:pStyle w:val="NoSpacing"/>
        <w:rPr>
          <w:rFonts w:ascii="Arial" w:hAnsi="Arial" w:cs="Arial"/>
          <w:sz w:val="20"/>
          <w:szCs w:val="20"/>
        </w:rPr>
      </w:pPr>
      <w:r w:rsidRPr="00520706">
        <w:rPr>
          <w:rFonts w:ascii="Arial" w:hAnsi="Arial" w:cs="Arial"/>
          <w:b/>
          <w:sz w:val="20"/>
          <w:szCs w:val="20"/>
        </w:rPr>
        <w:t>Version History</w:t>
      </w:r>
      <w:r>
        <w:rPr>
          <w:rFonts w:ascii="Arial" w:hAnsi="Arial" w:cs="Arial"/>
          <w:sz w:val="20"/>
          <w:szCs w:val="20"/>
        </w:rPr>
        <w:t>: Originally edited by Sean Marks MD; first electronically published in November 2016.</w:t>
      </w:r>
    </w:p>
    <w:p w:rsidR="003F7DF0" w:rsidRDefault="003F7DF0" w:rsidP="00647029">
      <w:pPr>
        <w:rPr>
          <w:rFonts w:ascii="Helvetica" w:hAnsi="Helvetica" w:cs="Helvetica"/>
          <w:b/>
          <w:bCs/>
          <w:i/>
          <w:iCs/>
          <w:sz w:val="20"/>
        </w:rPr>
      </w:pPr>
    </w:p>
    <w:p w:rsidR="00647029" w:rsidRDefault="00647029" w:rsidP="00647029">
      <w:pPr>
        <w:rPr>
          <w:rFonts w:ascii="Helvetica" w:hAnsi="Helvetica" w:cs="Helvetica"/>
          <w:i/>
          <w:iCs/>
          <w:sz w:val="20"/>
        </w:rPr>
      </w:pPr>
      <w:r>
        <w:rPr>
          <w:rFonts w:ascii="Helvetica" w:hAnsi="Helvetica" w:cs="Helvetica"/>
          <w:b/>
          <w:bCs/>
          <w:i/>
          <w:iCs/>
          <w:sz w:val="20"/>
        </w:rPr>
        <w:t>Fast Facts and Concepts</w:t>
      </w:r>
      <w:r>
        <w:rPr>
          <w:rFonts w:ascii="Helvetica" w:hAnsi="Helvetica" w:cs="Helvetica"/>
          <w:b/>
          <w:bCs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are edited by Sean Marks MD (Medical College of Wisconsin) and associate editor Drew </w:t>
      </w:r>
      <w:proofErr w:type="gramStart"/>
      <w:r>
        <w:rPr>
          <w:rFonts w:ascii="Helvetica" w:hAnsi="Helvetica" w:cs="Helvetica"/>
          <w:sz w:val="20"/>
        </w:rPr>
        <w:t>A</w:t>
      </w:r>
      <w:proofErr w:type="gramEnd"/>
      <w:r>
        <w:rPr>
          <w:rFonts w:ascii="Helvetica" w:hAnsi="Helvetica" w:cs="Helvetica"/>
          <w:sz w:val="20"/>
        </w:rPr>
        <w:t xml:space="preserve"> Rosielle MD (University of Minnesota Medical School), with the generous support of a volunteer peer-review editorial board, and are made available online by the </w:t>
      </w:r>
      <w:hyperlink r:id="rId9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(PCNOW); the authors of each individual </w:t>
      </w:r>
      <w:r>
        <w:rPr>
          <w:rFonts w:ascii="Helvetica" w:hAnsi="Helvetica" w:cs="Helvetica"/>
          <w:i/>
          <w:iCs/>
          <w:sz w:val="20"/>
        </w:rPr>
        <w:t xml:space="preserve">Fast Fact </w:t>
      </w:r>
      <w:r>
        <w:rPr>
          <w:rFonts w:ascii="Helvetica" w:hAnsi="Helvetica" w:cs="Helvetica"/>
          <w:sz w:val="20"/>
        </w:rPr>
        <w:t xml:space="preserve">are solely responsible for that </w:t>
      </w:r>
      <w:r>
        <w:rPr>
          <w:rFonts w:ascii="Helvetica" w:hAnsi="Helvetica" w:cs="Helvetica"/>
          <w:i/>
          <w:iCs/>
          <w:sz w:val="20"/>
        </w:rPr>
        <w:t>Fast Fact’s</w:t>
      </w:r>
      <w:r>
        <w:rPr>
          <w:rFonts w:ascii="Helvetica" w:hAnsi="Helvetica" w:cs="Helvetica"/>
          <w:sz w:val="20"/>
        </w:rPr>
        <w:t xml:space="preserve"> content. The full set of </w:t>
      </w:r>
      <w:r>
        <w:rPr>
          <w:rFonts w:ascii="Helvetica" w:hAnsi="Helvetica" w:cs="Helvetica"/>
          <w:i/>
          <w:iCs/>
          <w:sz w:val="20"/>
        </w:rPr>
        <w:t xml:space="preserve">Fast Facts </w:t>
      </w:r>
      <w:r>
        <w:rPr>
          <w:rFonts w:ascii="Helvetica" w:hAnsi="Helvetica" w:cs="Helvetica"/>
          <w:sz w:val="20"/>
        </w:rPr>
        <w:t xml:space="preserve">are available at </w:t>
      </w:r>
      <w:hyperlink r:id="rId10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</w:t>
      </w:r>
      <w:r w:rsidRPr="00647029">
        <w:rPr>
          <w:rFonts w:ascii="Helvetica" w:hAnsi="Helvetica" w:cs="Helvetica"/>
          <w:sz w:val="20"/>
        </w:rPr>
        <w:t>with</w:t>
      </w:r>
      <w:r>
        <w:rPr>
          <w:rFonts w:ascii="Helvetica" w:hAnsi="Helvetica" w:cs="Helvetica"/>
          <w:sz w:val="20"/>
        </w:rPr>
        <w:t xml:space="preserve"> contact information, and how to reference </w:t>
      </w:r>
      <w:r>
        <w:rPr>
          <w:rFonts w:ascii="Helvetica" w:hAnsi="Helvetica" w:cs="Helvetica"/>
          <w:i/>
          <w:iCs/>
          <w:sz w:val="20"/>
        </w:rPr>
        <w:t>Fast Facts.</w:t>
      </w:r>
    </w:p>
    <w:p w:rsidR="00647029" w:rsidRDefault="00647029" w:rsidP="00647029">
      <w:pPr>
        <w:rPr>
          <w:rFonts w:ascii="Helvetica" w:hAnsi="Helvetica" w:cs="Arial"/>
          <w:b/>
          <w:bCs/>
          <w:sz w:val="20"/>
        </w:rPr>
      </w:pPr>
      <w:r>
        <w:rPr>
          <w:rFonts w:ascii="Helvetica" w:hAnsi="Helvetica" w:cs="Arial"/>
          <w:b/>
          <w:bCs/>
          <w:sz w:val="20"/>
        </w:rPr>
        <w:t xml:space="preserve">Copyright: </w:t>
      </w:r>
      <w:r>
        <w:rPr>
          <w:rFonts w:ascii="Helvetica" w:hAnsi="Helvetica" w:cs="Arial"/>
          <w:bCs/>
          <w:sz w:val="20"/>
        </w:rPr>
        <w:t xml:space="preserve"> All </w:t>
      </w:r>
      <w:r>
        <w:rPr>
          <w:rFonts w:ascii="Helvetica" w:hAnsi="Helvetica" w:cs="Arial"/>
          <w:bCs/>
          <w:i/>
          <w:sz w:val="20"/>
        </w:rPr>
        <w:t xml:space="preserve">Fast Facts and Concepts </w:t>
      </w:r>
      <w:r>
        <w:rPr>
          <w:rFonts w:ascii="Helvetica" w:hAnsi="Helvetica" w:cs="Arial"/>
          <w:bCs/>
          <w:sz w:val="20"/>
        </w:rPr>
        <w:t>are published under a Creative Commons Attribution-</w:t>
      </w:r>
      <w:proofErr w:type="spellStart"/>
      <w:r>
        <w:rPr>
          <w:rFonts w:ascii="Helvetica" w:hAnsi="Helvetica" w:cs="Arial"/>
          <w:bCs/>
          <w:sz w:val="20"/>
        </w:rPr>
        <w:t>NonCommercial</w:t>
      </w:r>
      <w:proofErr w:type="spellEnd"/>
      <w:r>
        <w:rPr>
          <w:rFonts w:ascii="Helvetica" w:hAnsi="Helvetica" w:cs="Arial"/>
          <w:bCs/>
          <w:sz w:val="20"/>
        </w:rPr>
        <w:t xml:space="preserve"> 4.0 International Copyright (</w:t>
      </w:r>
      <w:hyperlink r:id="rId11" w:history="1">
        <w:r>
          <w:rPr>
            <w:rStyle w:val="Hyperlink"/>
            <w:rFonts w:ascii="Helvetica" w:hAnsi="Helvetica" w:cs="Arial"/>
            <w:bCs/>
            <w:sz w:val="20"/>
          </w:rPr>
          <w:t>http://creativecommons.org/licenses/by-nc/4.0/</w:t>
        </w:r>
      </w:hyperlink>
      <w:r>
        <w:rPr>
          <w:rFonts w:ascii="Helvetica" w:hAnsi="Helvetica" w:cs="Arial"/>
          <w:bCs/>
          <w:sz w:val="20"/>
        </w:rPr>
        <w:t xml:space="preserve">). 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can only be copied and distributed for non-commercial, educational purposes. If you adapt or distribute a </w:t>
      </w:r>
      <w:r>
        <w:rPr>
          <w:rFonts w:ascii="Helvetica" w:hAnsi="Helvetica" w:cs="Arial"/>
          <w:bCs/>
          <w:i/>
          <w:sz w:val="20"/>
        </w:rPr>
        <w:t>Fast Fact</w:t>
      </w:r>
      <w:r>
        <w:rPr>
          <w:rFonts w:ascii="Helvetica" w:hAnsi="Helvetica" w:cs="Arial"/>
          <w:bCs/>
          <w:sz w:val="20"/>
        </w:rPr>
        <w:t>, let us know!</w:t>
      </w:r>
    </w:p>
    <w:p w:rsidR="00E867E5" w:rsidRDefault="00647029" w:rsidP="0064702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b/>
          <w:bCs/>
          <w:sz w:val="20"/>
        </w:rPr>
        <w:t>Disclaimer:</w:t>
      </w:r>
      <w:r>
        <w:rPr>
          <w:rFonts w:ascii="Helvetica" w:hAnsi="Helvetica" w:cs="Arial"/>
          <w:bCs/>
          <w:sz w:val="20"/>
        </w:rPr>
        <w:t xml:space="preserve"> </w:t>
      </w:r>
      <w:r>
        <w:rPr>
          <w:rFonts w:ascii="Helvetica" w:hAnsi="Helvetica" w:cs="Arial"/>
          <w:bCs/>
          <w:i/>
          <w:sz w:val="20"/>
        </w:rPr>
        <w:t>Fast Facts and Concepts</w:t>
      </w:r>
      <w:r>
        <w:rPr>
          <w:rFonts w:ascii="Helvetica" w:hAnsi="Helvetica" w:cs="Arial"/>
          <w:bCs/>
          <w:sz w:val="20"/>
        </w:rPr>
        <w:t xml:space="preserve"> provide educational information for health care professionals. This information is not medical advice.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are not continually updated, and new safety information may emerge after a </w:t>
      </w:r>
      <w:r>
        <w:rPr>
          <w:rFonts w:ascii="Helvetica" w:hAnsi="Helvetica" w:cs="Arial"/>
          <w:bCs/>
          <w:i/>
          <w:sz w:val="20"/>
        </w:rPr>
        <w:t xml:space="preserve">Fast Fact </w:t>
      </w:r>
      <w:r>
        <w:rPr>
          <w:rFonts w:ascii="Helvetica" w:hAnsi="Helvetica" w:cs="Arial"/>
          <w:bCs/>
          <w:sz w:val="20"/>
        </w:rPr>
        <w:t xml:space="preserve">is published. Health care providers should always exercise their own independent clinical judgment and consult other relevant and up-to-date experts and resources. Some </w:t>
      </w:r>
      <w:r>
        <w:rPr>
          <w:rFonts w:ascii="Helvetica" w:hAnsi="Helvetica" w:cs="Arial"/>
          <w:bCs/>
          <w:i/>
          <w:sz w:val="20"/>
        </w:rPr>
        <w:t>Fast Facts</w:t>
      </w:r>
      <w:r>
        <w:rPr>
          <w:rFonts w:ascii="Helvetica" w:hAnsi="Helvetica" w:cs="Arial"/>
          <w:bCs/>
          <w:sz w:val="20"/>
        </w:rPr>
        <w:t xml:space="preserve"> cite the use of a </w:t>
      </w:r>
      <w:r>
        <w:rPr>
          <w:rFonts w:ascii="Helvetica" w:hAnsi="Helvetica" w:cs="Arial"/>
          <w:bCs/>
          <w:sz w:val="20"/>
        </w:rPr>
        <w:lastRenderedPageBreak/>
        <w:t>product in a dosage, for an indication, or in a manner other than that recommended in the product labeling. Accordingly, the official prescribing information should be consulted before any such product is used.</w:t>
      </w:r>
    </w:p>
    <w:p w:rsidR="00647029" w:rsidRPr="00E867E5" w:rsidRDefault="00647029" w:rsidP="00E867E5">
      <w:pPr>
        <w:ind w:firstLine="720"/>
        <w:rPr>
          <w:rFonts w:ascii="Helvetica" w:hAnsi="Helvetica" w:cs="Arial"/>
          <w:sz w:val="20"/>
        </w:rPr>
      </w:pPr>
    </w:p>
    <w:sectPr w:rsidR="00647029" w:rsidRPr="00E867E5" w:rsidSect="00E867E5">
      <w:pgSz w:w="12240" w:h="15840"/>
      <w:pgMar w:top="1440" w:right="1080" w:bottom="1440" w:left="1080" w:header="720" w:footer="720" w:gutter="0"/>
      <w:pgBorders>
        <w:top w:val="single" w:sz="36" w:space="1" w:color="660066"/>
        <w:left w:val="single" w:sz="36" w:space="4" w:color="660066"/>
        <w:bottom w:val="single" w:sz="36" w:space="1" w:color="660066"/>
        <w:right w:val="single" w:sz="36" w:space="4" w:color="66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44" w:rsidRDefault="00FC7F44" w:rsidP="00A96A91">
      <w:r>
        <w:separator/>
      </w:r>
    </w:p>
  </w:endnote>
  <w:endnote w:type="continuationSeparator" w:id="0">
    <w:p w:rsidR="00FC7F44" w:rsidRDefault="00FC7F44" w:rsidP="00A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44" w:rsidRDefault="00FC7F44" w:rsidP="00A96A91">
      <w:r>
        <w:separator/>
      </w:r>
    </w:p>
  </w:footnote>
  <w:footnote w:type="continuationSeparator" w:id="0">
    <w:p w:rsidR="00FC7F44" w:rsidRDefault="00FC7F44" w:rsidP="00A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793E"/>
    <w:multiLevelType w:val="hybridMultilevel"/>
    <w:tmpl w:val="E258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9"/>
    <w:rsid w:val="00060562"/>
    <w:rsid w:val="000E27E0"/>
    <w:rsid w:val="0027014F"/>
    <w:rsid w:val="002A13DA"/>
    <w:rsid w:val="00321F34"/>
    <w:rsid w:val="003A31AD"/>
    <w:rsid w:val="003F7DF0"/>
    <w:rsid w:val="00437A32"/>
    <w:rsid w:val="00515843"/>
    <w:rsid w:val="00573D2D"/>
    <w:rsid w:val="005B0489"/>
    <w:rsid w:val="005E7ACA"/>
    <w:rsid w:val="00647029"/>
    <w:rsid w:val="0065050D"/>
    <w:rsid w:val="00705CF3"/>
    <w:rsid w:val="0099092F"/>
    <w:rsid w:val="00A96A91"/>
    <w:rsid w:val="00AD3E61"/>
    <w:rsid w:val="00AF625A"/>
    <w:rsid w:val="00C452E5"/>
    <w:rsid w:val="00DE4245"/>
    <w:rsid w:val="00E75CDE"/>
    <w:rsid w:val="00E867E5"/>
    <w:rsid w:val="00F77718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23345"/>
  <w14:defaultImageDpi w14:val="300"/>
  <w15:docId w15:val="{164F6541-9A85-4356-8FC4-C05A6F5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70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7029"/>
    <w:pPr>
      <w:tabs>
        <w:tab w:val="center" w:pos="4320"/>
        <w:tab w:val="right" w:pos="8640"/>
      </w:tabs>
      <w:spacing w:after="120" w:line="264" w:lineRule="auto"/>
    </w:pPr>
    <w:rPr>
      <w:rFonts w:ascii="Book Antiqua" w:hAnsi="Book Antiqua"/>
      <w:szCs w:val="20"/>
    </w:rPr>
  </w:style>
  <w:style w:type="character" w:customStyle="1" w:styleId="HeaderChar">
    <w:name w:val="Header Char"/>
    <w:basedOn w:val="DefaultParagraphFont"/>
    <w:link w:val="Header"/>
    <w:rsid w:val="00647029"/>
    <w:rPr>
      <w:rFonts w:ascii="Book Antiqua" w:eastAsia="Times New Roman" w:hAnsi="Book Antiqua" w:cs="Times New Roman"/>
      <w:szCs w:val="20"/>
    </w:rPr>
  </w:style>
  <w:style w:type="character" w:styleId="Hyperlink">
    <w:name w:val="Hyperlink"/>
    <w:rsid w:val="00647029"/>
    <w:rPr>
      <w:color w:val="0000FF"/>
      <w:u w:val="single"/>
    </w:rPr>
  </w:style>
  <w:style w:type="paragraph" w:styleId="Footer">
    <w:name w:val="footer"/>
    <w:basedOn w:val="Normal"/>
    <w:link w:val="FooterChar"/>
    <w:rsid w:val="00647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7029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470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8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43"/>
    <w:rPr>
      <w:rFonts w:ascii="Lucida Grande" w:eastAsia="Times New Roman" w:hAnsi="Lucida Grande" w:cs="Lucida Grande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21F34"/>
    <w:rPr>
      <w:i/>
      <w:iCs/>
    </w:rPr>
  </w:style>
  <w:style w:type="paragraph" w:styleId="ListParagraph">
    <w:name w:val="List Paragraph"/>
    <w:basedOn w:val="Normal"/>
    <w:uiPriority w:val="34"/>
    <w:qFormat/>
    <w:rsid w:val="00E86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light">
    <w:name w:val="highlight"/>
    <w:basedOn w:val="DefaultParagraphFont"/>
    <w:rsid w:val="00E867E5"/>
  </w:style>
  <w:style w:type="character" w:styleId="EndnoteReference">
    <w:name w:val="endnote reference"/>
    <w:basedOn w:val="DefaultParagraphFont"/>
    <w:uiPriority w:val="99"/>
    <w:unhideWhenUsed/>
    <w:rsid w:val="00E867E5"/>
    <w:rPr>
      <w:vertAlign w:val="superscript"/>
    </w:rPr>
  </w:style>
  <w:style w:type="paragraph" w:styleId="NoSpacing">
    <w:name w:val="No Spacing"/>
    <w:uiPriority w:val="1"/>
    <w:qFormat/>
    <w:rsid w:val="00E867E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pcno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nc/4.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ypcnow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pcn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Marks, Sean</cp:lastModifiedBy>
  <cp:revision>7</cp:revision>
  <dcterms:created xsi:type="dcterms:W3CDTF">2016-11-14T19:31:00Z</dcterms:created>
  <dcterms:modified xsi:type="dcterms:W3CDTF">2016-11-21T17:01:00Z</dcterms:modified>
</cp:coreProperties>
</file>