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91" w:rsidRDefault="00A96A91" w:rsidP="00321F34">
      <w:pPr>
        <w:jc w:val="center"/>
        <w:rPr>
          <w:rFonts w:ascii="Helvetica" w:hAnsi="Helvetica" w:cs="Helvetica"/>
          <w:b/>
          <w:bCs/>
          <w:i/>
          <w:iCs/>
          <w:sz w:val="20"/>
        </w:rPr>
      </w:pPr>
      <w:r>
        <w:rPr>
          <w:rFonts w:cs="Arial"/>
          <w:b/>
          <w:noProof/>
          <w:sz w:val="20"/>
        </w:rPr>
        <w:drawing>
          <wp:inline distT="0" distB="0" distL="0" distR="0" wp14:anchorId="4D12EBF0" wp14:editId="69F23964">
            <wp:extent cx="1778000" cy="317500"/>
            <wp:effectExtent l="0" t="0" r="0" b="12700"/>
            <wp:docPr id="1"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a:ln>
                      <a:noFill/>
                    </a:ln>
                  </pic:spPr>
                </pic:pic>
              </a:graphicData>
            </a:graphic>
          </wp:inline>
        </w:drawing>
      </w:r>
    </w:p>
    <w:p w:rsidR="00240EF4" w:rsidRPr="00321F34" w:rsidRDefault="00240EF4" w:rsidP="00321F34">
      <w:pPr>
        <w:jc w:val="center"/>
        <w:rPr>
          <w:rFonts w:ascii="Helvetica" w:hAnsi="Helvetica" w:cs="Helvetica"/>
          <w:b/>
          <w:bCs/>
          <w:i/>
          <w:iCs/>
          <w:sz w:val="20"/>
        </w:rPr>
      </w:pPr>
    </w:p>
    <w:p w:rsidR="00240EF4" w:rsidRPr="00A51356" w:rsidRDefault="00240EF4" w:rsidP="00240EF4">
      <w:pPr>
        <w:jc w:val="center"/>
        <w:rPr>
          <w:rFonts w:ascii="Arial" w:hAnsi="Arial"/>
          <w:b/>
          <w:sz w:val="20"/>
          <w:szCs w:val="20"/>
        </w:rPr>
      </w:pPr>
      <w:r>
        <w:rPr>
          <w:rFonts w:ascii="Arial" w:hAnsi="Arial"/>
          <w:b/>
          <w:sz w:val="20"/>
          <w:szCs w:val="20"/>
        </w:rPr>
        <w:t>FAST FACTS AND CONCEPTS #326</w:t>
      </w:r>
    </w:p>
    <w:p w:rsidR="00240EF4" w:rsidRPr="00A51356" w:rsidRDefault="00240EF4" w:rsidP="00240EF4">
      <w:pPr>
        <w:jc w:val="center"/>
        <w:rPr>
          <w:rFonts w:ascii="Arial" w:hAnsi="Arial"/>
          <w:b/>
          <w:sz w:val="20"/>
          <w:szCs w:val="20"/>
        </w:rPr>
      </w:pPr>
      <w:r>
        <w:rPr>
          <w:rFonts w:ascii="Arial" w:hAnsi="Arial"/>
          <w:b/>
          <w:sz w:val="20"/>
          <w:szCs w:val="20"/>
        </w:rPr>
        <w:t>ILLNESS TRAJECTORIES: DESCRIPTION AND CLINICAL USE</w:t>
      </w:r>
    </w:p>
    <w:p w:rsidR="00240EF4" w:rsidRPr="00A51356" w:rsidRDefault="00240EF4" w:rsidP="00240EF4">
      <w:pPr>
        <w:jc w:val="center"/>
        <w:rPr>
          <w:rFonts w:ascii="Arial" w:hAnsi="Arial"/>
          <w:b/>
          <w:sz w:val="20"/>
          <w:szCs w:val="20"/>
        </w:rPr>
      </w:pPr>
      <w:r w:rsidRPr="00A51356">
        <w:rPr>
          <w:rFonts w:ascii="Arial" w:hAnsi="Arial"/>
          <w:b/>
          <w:sz w:val="20"/>
          <w:szCs w:val="20"/>
        </w:rPr>
        <w:t xml:space="preserve">Paige Comstock Barker, MD and Jennifer </w:t>
      </w:r>
      <w:r>
        <w:rPr>
          <w:rFonts w:ascii="Arial" w:hAnsi="Arial"/>
          <w:b/>
          <w:sz w:val="20"/>
          <w:szCs w:val="20"/>
        </w:rPr>
        <w:t xml:space="preserve">S. </w:t>
      </w:r>
      <w:r w:rsidRPr="00A51356">
        <w:rPr>
          <w:rFonts w:ascii="Arial" w:hAnsi="Arial"/>
          <w:b/>
          <w:sz w:val="20"/>
          <w:szCs w:val="20"/>
        </w:rPr>
        <w:t>Scherer, MD</w:t>
      </w:r>
    </w:p>
    <w:p w:rsidR="00240EF4" w:rsidRPr="00A51356" w:rsidRDefault="00240EF4" w:rsidP="00240EF4">
      <w:pPr>
        <w:jc w:val="center"/>
        <w:rPr>
          <w:rFonts w:ascii="Arial" w:hAnsi="Arial"/>
          <w:sz w:val="20"/>
          <w:szCs w:val="20"/>
        </w:rPr>
      </w:pPr>
    </w:p>
    <w:p w:rsidR="00240EF4" w:rsidRDefault="00240EF4" w:rsidP="00240EF4">
      <w:pPr>
        <w:rPr>
          <w:rFonts w:ascii="Arial" w:hAnsi="Arial"/>
          <w:sz w:val="20"/>
          <w:szCs w:val="20"/>
        </w:rPr>
      </w:pPr>
      <w:r>
        <w:rPr>
          <w:rFonts w:ascii="Arial" w:hAnsi="Arial"/>
          <w:b/>
          <w:noProof/>
          <w:sz w:val="20"/>
          <w:szCs w:val="20"/>
        </w:rPr>
        <w:drawing>
          <wp:anchor distT="0" distB="0" distL="114300" distR="114300" simplePos="0" relativeHeight="251659264" behindDoc="0" locked="0" layoutInCell="1" allowOverlap="1" wp14:anchorId="6BBA9D38" wp14:editId="712E5651">
            <wp:simplePos x="0" y="0"/>
            <wp:positionH relativeFrom="margin">
              <wp:align>right</wp:align>
            </wp:positionH>
            <wp:positionV relativeFrom="paragraph">
              <wp:posOffset>530225</wp:posOffset>
            </wp:positionV>
            <wp:extent cx="3276600" cy="2962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9"/>
                    <a:stretch>
                      <a:fillRect/>
                    </a:stretch>
                  </pic:blipFill>
                  <pic:spPr>
                    <a:xfrm>
                      <a:off x="0" y="0"/>
                      <a:ext cx="3276600" cy="29622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0"/>
          <w:szCs w:val="20"/>
        </w:rPr>
        <w:t xml:space="preserve">Illness trajectories can provide a framework for addressing patient and family expectations of what will happen with regards to their anticipated health. Distinct illness trajectories have been recognized in the medical literature (see Figure 1). This </w:t>
      </w:r>
      <w:r w:rsidRPr="00924513">
        <w:rPr>
          <w:rFonts w:ascii="Arial" w:hAnsi="Arial"/>
          <w:i/>
          <w:sz w:val="20"/>
          <w:szCs w:val="20"/>
        </w:rPr>
        <w:t>Fast Fact</w:t>
      </w:r>
      <w:r>
        <w:rPr>
          <w:rFonts w:ascii="Arial" w:hAnsi="Arial"/>
          <w:sz w:val="20"/>
          <w:szCs w:val="20"/>
        </w:rPr>
        <w:t xml:space="preserve"> will review the medical evidence of these trajectories as well as their utility as a patient teaching tool.  </w:t>
      </w:r>
    </w:p>
    <w:p w:rsidR="00240EF4" w:rsidRDefault="00240EF4" w:rsidP="00240EF4">
      <w:pPr>
        <w:rPr>
          <w:rFonts w:ascii="Arial" w:hAnsi="Arial"/>
          <w:b/>
          <w:sz w:val="20"/>
          <w:szCs w:val="20"/>
        </w:rPr>
      </w:pPr>
    </w:p>
    <w:p w:rsidR="00240EF4" w:rsidRDefault="00240EF4" w:rsidP="00240EF4">
      <w:pPr>
        <w:rPr>
          <w:rFonts w:ascii="Arial" w:hAnsi="Arial"/>
          <w:sz w:val="20"/>
          <w:szCs w:val="20"/>
        </w:rPr>
      </w:pPr>
      <w:r w:rsidRPr="00116952">
        <w:rPr>
          <w:rFonts w:ascii="Arial" w:hAnsi="Arial"/>
          <w:b/>
          <w:sz w:val="20"/>
          <w:szCs w:val="20"/>
        </w:rPr>
        <w:t>General Evidence:</w:t>
      </w:r>
      <w:r>
        <w:rPr>
          <w:rFonts w:ascii="Arial" w:hAnsi="Arial"/>
          <w:b/>
          <w:sz w:val="20"/>
          <w:szCs w:val="20"/>
        </w:rPr>
        <w:t xml:space="preserve">  </w:t>
      </w:r>
      <w:r>
        <w:rPr>
          <w:rFonts w:ascii="Arial" w:hAnsi="Arial"/>
          <w:sz w:val="20"/>
          <w:szCs w:val="20"/>
        </w:rPr>
        <w:t xml:space="preserve">A </w:t>
      </w:r>
      <w:r w:rsidRPr="00E8577F">
        <w:rPr>
          <w:rFonts w:ascii="Arial" w:hAnsi="Arial"/>
          <w:sz w:val="20"/>
          <w:szCs w:val="20"/>
        </w:rPr>
        <w:t>large observational study,</w:t>
      </w:r>
      <w:r>
        <w:rPr>
          <w:rFonts w:ascii="Arial" w:hAnsi="Arial"/>
          <w:sz w:val="20"/>
          <w:szCs w:val="20"/>
        </w:rPr>
        <w:t xml:space="preserve"> described distinct illness trajectories at the end of life for frailty/dementia, cancer, and organ failure (1).</w:t>
      </w:r>
      <w:r w:rsidRPr="00E8577F">
        <w:rPr>
          <w:rFonts w:ascii="Arial" w:hAnsi="Arial"/>
          <w:sz w:val="20"/>
          <w:szCs w:val="20"/>
        </w:rPr>
        <w:t xml:space="preserve"> </w:t>
      </w:r>
      <w:r>
        <w:rPr>
          <w:rFonts w:ascii="Arial" w:hAnsi="Arial"/>
          <w:sz w:val="20"/>
          <w:szCs w:val="20"/>
        </w:rPr>
        <w:t>Subsequent research has cast some controversy about the validity of these findings, particularly whether hospitalizations may have a more significant role on the pattern of decline than the specific illness itself (2-4).</w:t>
      </w:r>
    </w:p>
    <w:p w:rsidR="00240EF4" w:rsidRDefault="00240EF4" w:rsidP="00240EF4">
      <w:pPr>
        <w:rPr>
          <w:rFonts w:ascii="Arial" w:hAnsi="Arial"/>
          <w:sz w:val="20"/>
          <w:szCs w:val="20"/>
        </w:rPr>
      </w:pPr>
    </w:p>
    <w:p w:rsidR="00240EF4" w:rsidRPr="00A51356" w:rsidRDefault="00240EF4" w:rsidP="00240EF4">
      <w:pPr>
        <w:rPr>
          <w:rFonts w:ascii="Arial" w:hAnsi="Arial"/>
          <w:b/>
          <w:sz w:val="20"/>
          <w:szCs w:val="20"/>
        </w:rPr>
      </w:pPr>
      <w:r>
        <w:rPr>
          <w:rFonts w:ascii="Arial" w:hAnsi="Arial"/>
          <w:b/>
          <w:sz w:val="20"/>
          <w:szCs w:val="20"/>
        </w:rPr>
        <w:t>Illness Trajectories</w:t>
      </w:r>
      <w:r w:rsidRPr="00A51356">
        <w:rPr>
          <w:rFonts w:ascii="Arial" w:hAnsi="Arial"/>
          <w:b/>
          <w:sz w:val="20"/>
          <w:szCs w:val="20"/>
        </w:rPr>
        <w:t>:</w:t>
      </w:r>
    </w:p>
    <w:p w:rsidR="00240EF4" w:rsidRDefault="00240EF4" w:rsidP="00240EF4">
      <w:pPr>
        <w:rPr>
          <w:rFonts w:ascii="Arial" w:hAnsi="Arial"/>
          <w:sz w:val="20"/>
          <w:szCs w:val="20"/>
        </w:rPr>
      </w:pPr>
      <w:r>
        <w:rPr>
          <w:rFonts w:ascii="Arial" w:hAnsi="Arial"/>
          <w:sz w:val="20"/>
          <w:szCs w:val="20"/>
          <w:u w:val="single"/>
        </w:rPr>
        <w:t xml:space="preserve">Frailty / </w:t>
      </w:r>
      <w:r w:rsidRPr="000508A4">
        <w:rPr>
          <w:rFonts w:ascii="Arial" w:hAnsi="Arial"/>
          <w:sz w:val="20"/>
          <w:szCs w:val="20"/>
          <w:u w:val="single"/>
        </w:rPr>
        <w:t>Dementia</w:t>
      </w:r>
      <w:r>
        <w:rPr>
          <w:rFonts w:ascii="Arial" w:hAnsi="Arial"/>
          <w:sz w:val="20"/>
          <w:szCs w:val="20"/>
        </w:rPr>
        <w:t xml:space="preserve">:  A pattern of dwindling cognitive and/or physical </w:t>
      </w:r>
      <w:r w:rsidRPr="00F16892">
        <w:rPr>
          <w:rFonts w:ascii="Arial" w:hAnsi="Arial"/>
          <w:sz w:val="20"/>
          <w:szCs w:val="20"/>
        </w:rPr>
        <w:t>disability</w:t>
      </w:r>
      <w:r>
        <w:rPr>
          <w:rFonts w:ascii="Arial" w:hAnsi="Arial"/>
          <w:sz w:val="20"/>
          <w:szCs w:val="20"/>
        </w:rPr>
        <w:t xml:space="preserve"> that may progress over several years (1). Seventy percent </w:t>
      </w:r>
      <w:r w:rsidRPr="00F16892">
        <w:rPr>
          <w:rFonts w:ascii="Arial" w:hAnsi="Arial"/>
          <w:sz w:val="20"/>
          <w:szCs w:val="20"/>
        </w:rPr>
        <w:t xml:space="preserve">of dementia patients </w:t>
      </w:r>
      <w:r>
        <w:rPr>
          <w:rFonts w:ascii="Arial" w:hAnsi="Arial"/>
          <w:sz w:val="20"/>
          <w:szCs w:val="20"/>
        </w:rPr>
        <w:t xml:space="preserve">require assistance in </w:t>
      </w:r>
      <w:r>
        <w:rPr>
          <w:rFonts w:ascii="Arial" w:hAnsi="Arial" w:cs="Arial"/>
          <w:sz w:val="20"/>
          <w:szCs w:val="20"/>
        </w:rPr>
        <w:t>≥</w:t>
      </w:r>
      <w:r>
        <w:rPr>
          <w:rFonts w:ascii="Arial" w:hAnsi="Arial"/>
          <w:sz w:val="20"/>
          <w:szCs w:val="20"/>
        </w:rPr>
        <w:t>3 ADLs,</w:t>
      </w:r>
      <w:r w:rsidRPr="00F16892">
        <w:rPr>
          <w:rFonts w:ascii="Arial" w:hAnsi="Arial"/>
          <w:sz w:val="20"/>
          <w:szCs w:val="20"/>
        </w:rPr>
        <w:t xml:space="preserve"> in </w:t>
      </w:r>
      <w:r>
        <w:rPr>
          <w:rFonts w:ascii="Arial" w:hAnsi="Arial"/>
          <w:sz w:val="20"/>
          <w:szCs w:val="20"/>
        </w:rPr>
        <w:t xml:space="preserve">the </w:t>
      </w:r>
      <w:r w:rsidRPr="00F16892">
        <w:rPr>
          <w:rFonts w:ascii="Arial" w:hAnsi="Arial"/>
          <w:sz w:val="20"/>
          <w:szCs w:val="20"/>
        </w:rPr>
        <w:t>last year</w:t>
      </w:r>
      <w:r>
        <w:rPr>
          <w:rFonts w:ascii="Arial" w:hAnsi="Arial"/>
          <w:sz w:val="20"/>
          <w:szCs w:val="20"/>
        </w:rPr>
        <w:t xml:space="preserve"> of life, making these patients at heightened risk for nursing home placement and caregiver breakdown (2).  Many clinicians and families may not recognize that dementia by itself is a terminal illness.</w:t>
      </w:r>
    </w:p>
    <w:p w:rsidR="00240EF4" w:rsidRPr="00F16892" w:rsidRDefault="00240EF4" w:rsidP="00240EF4">
      <w:pPr>
        <w:rPr>
          <w:rFonts w:ascii="Arial" w:hAnsi="Arial"/>
          <w:sz w:val="20"/>
          <w:szCs w:val="20"/>
          <w:u w:val="single"/>
        </w:rPr>
      </w:pPr>
    </w:p>
    <w:p w:rsidR="00240EF4" w:rsidRPr="00A31322" w:rsidRDefault="00240EF4" w:rsidP="00240EF4">
      <w:pPr>
        <w:rPr>
          <w:rFonts w:ascii="Arial" w:hAnsi="Arial"/>
          <w:sz w:val="20"/>
          <w:szCs w:val="20"/>
          <w:u w:val="single"/>
        </w:rPr>
      </w:pPr>
      <w:r w:rsidRPr="00A31322">
        <w:rPr>
          <w:rFonts w:ascii="Arial" w:hAnsi="Arial"/>
          <w:sz w:val="20"/>
          <w:szCs w:val="20"/>
          <w:u w:val="single"/>
        </w:rPr>
        <w:t>Cancer</w:t>
      </w:r>
      <w:r w:rsidRPr="00A31322">
        <w:rPr>
          <w:rFonts w:ascii="Arial" w:hAnsi="Arial"/>
          <w:sz w:val="20"/>
          <w:szCs w:val="20"/>
        </w:rPr>
        <w:t>: A relatively stable period of</w:t>
      </w:r>
      <w:r>
        <w:rPr>
          <w:rFonts w:ascii="Arial" w:hAnsi="Arial"/>
          <w:sz w:val="20"/>
          <w:szCs w:val="20"/>
        </w:rPr>
        <w:t xml:space="preserve"> physical</w:t>
      </w:r>
      <w:r w:rsidRPr="00A31322">
        <w:rPr>
          <w:rFonts w:ascii="Arial" w:hAnsi="Arial"/>
          <w:sz w:val="20"/>
          <w:szCs w:val="20"/>
        </w:rPr>
        <w:t xml:space="preserve"> function followed by a</w:t>
      </w:r>
      <w:r>
        <w:rPr>
          <w:rFonts w:ascii="Arial" w:hAnsi="Arial"/>
          <w:sz w:val="20"/>
          <w:szCs w:val="20"/>
        </w:rPr>
        <w:t>n</w:t>
      </w:r>
      <w:r w:rsidRPr="00A31322">
        <w:rPr>
          <w:rFonts w:ascii="Arial" w:hAnsi="Arial"/>
          <w:sz w:val="20"/>
          <w:szCs w:val="20"/>
        </w:rPr>
        <w:t xml:space="preserve"> acute decline in the last few months of life.  Multiple studies have supported this trajectory </w:t>
      </w:r>
      <w:r>
        <w:rPr>
          <w:rFonts w:ascii="Arial" w:hAnsi="Arial"/>
          <w:sz w:val="20"/>
          <w:szCs w:val="20"/>
        </w:rPr>
        <w:t xml:space="preserve">however, </w:t>
      </w:r>
      <w:r w:rsidRPr="00A31322">
        <w:rPr>
          <w:rFonts w:ascii="Arial" w:hAnsi="Arial"/>
          <w:sz w:val="20"/>
          <w:szCs w:val="20"/>
        </w:rPr>
        <w:t xml:space="preserve">the </w:t>
      </w:r>
      <w:r>
        <w:rPr>
          <w:rFonts w:ascii="Arial" w:hAnsi="Arial"/>
          <w:sz w:val="20"/>
          <w:szCs w:val="20"/>
        </w:rPr>
        <w:t>timing</w:t>
      </w:r>
      <w:r w:rsidRPr="00A31322">
        <w:rPr>
          <w:rFonts w:ascii="Arial" w:hAnsi="Arial"/>
          <w:sz w:val="20"/>
          <w:szCs w:val="20"/>
        </w:rPr>
        <w:t xml:space="preserve"> of steep decline </w:t>
      </w:r>
      <w:r>
        <w:rPr>
          <w:rFonts w:ascii="Arial" w:hAnsi="Arial"/>
          <w:sz w:val="20"/>
          <w:szCs w:val="20"/>
        </w:rPr>
        <w:t>ranges between</w:t>
      </w:r>
      <w:r w:rsidRPr="00A31322">
        <w:rPr>
          <w:rFonts w:ascii="Arial" w:hAnsi="Arial"/>
          <w:sz w:val="20"/>
          <w:szCs w:val="20"/>
        </w:rPr>
        <w:t xml:space="preserve"> 1 to 5 months </w:t>
      </w:r>
      <w:r>
        <w:rPr>
          <w:rFonts w:ascii="Arial" w:hAnsi="Arial"/>
          <w:sz w:val="20"/>
          <w:szCs w:val="20"/>
        </w:rPr>
        <w:t xml:space="preserve">before death </w:t>
      </w:r>
      <w:r w:rsidRPr="00A31322">
        <w:rPr>
          <w:rFonts w:ascii="Arial" w:hAnsi="Arial"/>
          <w:sz w:val="20"/>
          <w:szCs w:val="20"/>
        </w:rPr>
        <w:t>depending on the study (</w:t>
      </w:r>
      <w:r>
        <w:rPr>
          <w:rFonts w:ascii="Arial" w:hAnsi="Arial"/>
          <w:sz w:val="20"/>
          <w:szCs w:val="20"/>
        </w:rPr>
        <w:t>1</w:t>
      </w:r>
      <w:r w:rsidRPr="00A31322">
        <w:rPr>
          <w:rFonts w:ascii="Arial" w:hAnsi="Arial"/>
          <w:sz w:val="20"/>
          <w:szCs w:val="20"/>
        </w:rPr>
        <w:t>,</w:t>
      </w:r>
      <w:r>
        <w:rPr>
          <w:rFonts w:ascii="Arial" w:hAnsi="Arial"/>
          <w:sz w:val="20"/>
          <w:szCs w:val="20"/>
        </w:rPr>
        <w:t>5-7</w:t>
      </w:r>
      <w:r w:rsidRPr="00A31322">
        <w:rPr>
          <w:rFonts w:ascii="Arial" w:hAnsi="Arial"/>
          <w:sz w:val="20"/>
          <w:szCs w:val="20"/>
        </w:rPr>
        <w:t>). Cancer patien</w:t>
      </w:r>
      <w:bookmarkStart w:id="0" w:name="_GoBack"/>
      <w:bookmarkEnd w:id="0"/>
      <w:r w:rsidRPr="00A31322">
        <w:rPr>
          <w:rFonts w:ascii="Arial" w:hAnsi="Arial"/>
          <w:sz w:val="20"/>
          <w:szCs w:val="20"/>
        </w:rPr>
        <w:t xml:space="preserve">ts </w:t>
      </w:r>
      <w:r>
        <w:rPr>
          <w:rFonts w:ascii="Arial" w:hAnsi="Arial"/>
          <w:sz w:val="20"/>
          <w:szCs w:val="20"/>
        </w:rPr>
        <w:t>may also</w:t>
      </w:r>
      <w:r w:rsidRPr="00A31322">
        <w:rPr>
          <w:rFonts w:ascii="Arial" w:hAnsi="Arial"/>
          <w:sz w:val="20"/>
          <w:szCs w:val="20"/>
        </w:rPr>
        <w:t xml:space="preserve"> </w:t>
      </w:r>
      <w:r>
        <w:rPr>
          <w:rFonts w:ascii="Arial" w:hAnsi="Arial"/>
          <w:sz w:val="20"/>
          <w:szCs w:val="20"/>
        </w:rPr>
        <w:t xml:space="preserve">experience more predictable patterns of </w:t>
      </w:r>
      <w:r w:rsidRPr="00A31322">
        <w:rPr>
          <w:rFonts w:ascii="Arial" w:hAnsi="Arial"/>
          <w:sz w:val="20"/>
          <w:szCs w:val="20"/>
        </w:rPr>
        <w:t xml:space="preserve">spiritual distress with peaks at diagnosis, </w:t>
      </w:r>
      <w:r>
        <w:rPr>
          <w:rFonts w:ascii="Arial" w:hAnsi="Arial"/>
          <w:sz w:val="20"/>
          <w:szCs w:val="20"/>
        </w:rPr>
        <w:t>disease</w:t>
      </w:r>
      <w:r w:rsidRPr="00A31322">
        <w:rPr>
          <w:rFonts w:ascii="Arial" w:hAnsi="Arial"/>
          <w:sz w:val="20"/>
          <w:szCs w:val="20"/>
        </w:rPr>
        <w:t xml:space="preserve"> recurrence, and </w:t>
      </w:r>
      <w:r>
        <w:rPr>
          <w:rFonts w:ascii="Arial" w:hAnsi="Arial"/>
          <w:sz w:val="20"/>
          <w:szCs w:val="20"/>
        </w:rPr>
        <w:t>the</w:t>
      </w:r>
      <w:r w:rsidRPr="00A31322">
        <w:rPr>
          <w:rFonts w:ascii="Arial" w:hAnsi="Arial"/>
          <w:sz w:val="20"/>
          <w:szCs w:val="20"/>
        </w:rPr>
        <w:t xml:space="preserve"> terminal phase of illness (</w:t>
      </w:r>
      <w:r>
        <w:rPr>
          <w:rFonts w:ascii="Arial" w:hAnsi="Arial"/>
          <w:sz w:val="20"/>
          <w:szCs w:val="20"/>
        </w:rPr>
        <w:t>8</w:t>
      </w:r>
      <w:r w:rsidRPr="00A31322">
        <w:rPr>
          <w:rFonts w:ascii="Arial" w:hAnsi="Arial"/>
          <w:sz w:val="20"/>
          <w:szCs w:val="20"/>
        </w:rPr>
        <w:t xml:space="preserve">). </w:t>
      </w:r>
      <w:r>
        <w:rPr>
          <w:rFonts w:ascii="Arial" w:hAnsi="Arial"/>
          <w:sz w:val="20"/>
          <w:szCs w:val="20"/>
        </w:rPr>
        <w:t>Because the physical decline and psycho-spiritual distress can be better anticipated, especially in solid tumors, more accurate prognostication and implementation of specialized palliative care services can occur. One study of Medicare patients showed that cancer patients were more likely to utilize hospice in comparison to other chronic illnesses because of the more predictable trajectory (9). More research is needed to validate this trajectory in the face of new targeted treatment modalities.</w:t>
      </w:r>
    </w:p>
    <w:p w:rsidR="00240EF4" w:rsidRDefault="00240EF4" w:rsidP="00240EF4">
      <w:pPr>
        <w:rPr>
          <w:rFonts w:ascii="Arial" w:hAnsi="Arial"/>
          <w:sz w:val="20"/>
          <w:szCs w:val="20"/>
          <w:u w:val="single"/>
        </w:rPr>
      </w:pPr>
    </w:p>
    <w:p w:rsidR="00240EF4" w:rsidRDefault="00240EF4" w:rsidP="00240EF4">
      <w:pPr>
        <w:rPr>
          <w:rFonts w:ascii="Arial" w:hAnsi="Arial"/>
          <w:sz w:val="20"/>
          <w:szCs w:val="20"/>
        </w:rPr>
      </w:pPr>
      <w:r w:rsidRPr="00EB787D">
        <w:rPr>
          <w:rFonts w:ascii="Arial" w:hAnsi="Arial"/>
          <w:sz w:val="20"/>
          <w:szCs w:val="20"/>
          <w:u w:val="single"/>
        </w:rPr>
        <w:t>Organ failure:</w:t>
      </w:r>
      <w:r w:rsidRPr="00EB787D">
        <w:rPr>
          <w:rFonts w:ascii="Arial" w:hAnsi="Arial"/>
          <w:sz w:val="20"/>
          <w:szCs w:val="20"/>
        </w:rPr>
        <w:t xml:space="preserve">  A more erratic </w:t>
      </w:r>
      <w:r>
        <w:rPr>
          <w:rFonts w:ascii="Arial" w:hAnsi="Arial"/>
          <w:sz w:val="20"/>
          <w:szCs w:val="20"/>
        </w:rPr>
        <w:t>trajectory</w:t>
      </w:r>
      <w:r w:rsidRPr="00EB787D">
        <w:rPr>
          <w:rFonts w:ascii="Arial" w:hAnsi="Arial"/>
          <w:sz w:val="20"/>
          <w:szCs w:val="20"/>
        </w:rPr>
        <w:t xml:space="preserve"> with punctuated periods of decline likely correlating with acute exacerbations (</w:t>
      </w:r>
      <w:r>
        <w:rPr>
          <w:rFonts w:ascii="Arial" w:hAnsi="Arial"/>
          <w:sz w:val="20"/>
          <w:szCs w:val="20"/>
        </w:rPr>
        <w:t>1</w:t>
      </w:r>
      <w:r w:rsidRPr="00EB787D">
        <w:rPr>
          <w:rFonts w:ascii="Arial" w:hAnsi="Arial"/>
          <w:sz w:val="20"/>
          <w:szCs w:val="20"/>
        </w:rPr>
        <w:t xml:space="preserve">).  Each exacerbation may result in death but is often survived with gradual deterioration in health and functional status. Timing of death is less certain than in cancer. Perhaps as a result, patients with congestive heart failure (CHF) and chronic obstructive pulmonary disorder are more likely to die in the hospital and less likely to </w:t>
      </w:r>
      <w:r>
        <w:rPr>
          <w:rFonts w:ascii="Arial" w:hAnsi="Arial"/>
          <w:sz w:val="20"/>
          <w:szCs w:val="20"/>
        </w:rPr>
        <w:t xml:space="preserve">receive hospice services nor </w:t>
      </w:r>
      <w:r w:rsidRPr="00EB787D">
        <w:rPr>
          <w:rFonts w:ascii="Arial" w:hAnsi="Arial"/>
          <w:sz w:val="20"/>
          <w:szCs w:val="20"/>
        </w:rPr>
        <w:t>understand the likely progression of their illness (</w:t>
      </w:r>
      <w:r>
        <w:rPr>
          <w:rFonts w:ascii="Arial" w:hAnsi="Arial"/>
          <w:sz w:val="20"/>
          <w:szCs w:val="20"/>
        </w:rPr>
        <w:t>9-12</w:t>
      </w:r>
      <w:r w:rsidRPr="00EB787D">
        <w:rPr>
          <w:rFonts w:ascii="Arial" w:hAnsi="Arial"/>
          <w:sz w:val="20"/>
          <w:szCs w:val="20"/>
        </w:rPr>
        <w:t xml:space="preserve">). </w:t>
      </w:r>
      <w:r>
        <w:rPr>
          <w:rFonts w:ascii="Arial" w:hAnsi="Arial"/>
          <w:sz w:val="20"/>
          <w:szCs w:val="20"/>
        </w:rPr>
        <w:t>Other take home points regarding the organ failure trajectory include:</w:t>
      </w:r>
    </w:p>
    <w:p w:rsidR="00240EF4" w:rsidRPr="00D17541" w:rsidRDefault="00240EF4" w:rsidP="00240EF4">
      <w:pPr>
        <w:pStyle w:val="ListParagraph"/>
        <w:numPr>
          <w:ilvl w:val="0"/>
          <w:numId w:val="1"/>
        </w:numPr>
        <w:spacing w:after="0"/>
        <w:rPr>
          <w:rFonts w:ascii="Arial" w:hAnsi="Arial"/>
          <w:b/>
          <w:sz w:val="20"/>
          <w:szCs w:val="20"/>
        </w:rPr>
      </w:pPr>
      <w:r w:rsidRPr="00627294">
        <w:rPr>
          <w:rFonts w:ascii="Arial" w:hAnsi="Arial"/>
          <w:sz w:val="20"/>
          <w:szCs w:val="20"/>
        </w:rPr>
        <w:t>The functional decline</w:t>
      </w:r>
      <w:r>
        <w:rPr>
          <w:rFonts w:ascii="Arial" w:hAnsi="Arial"/>
          <w:sz w:val="20"/>
          <w:szCs w:val="20"/>
        </w:rPr>
        <w:t xml:space="preserve"> for CHF</w:t>
      </w:r>
      <w:r w:rsidRPr="00627294">
        <w:rPr>
          <w:rFonts w:ascii="Arial" w:hAnsi="Arial"/>
          <w:sz w:val="20"/>
          <w:szCs w:val="20"/>
        </w:rPr>
        <w:t xml:space="preserve"> has been shown to be particularly heterogeneous</w:t>
      </w:r>
      <w:r>
        <w:rPr>
          <w:rFonts w:ascii="Arial" w:hAnsi="Arial"/>
          <w:sz w:val="20"/>
          <w:szCs w:val="20"/>
        </w:rPr>
        <w:t xml:space="preserve"> </w:t>
      </w:r>
      <w:r w:rsidRPr="00627294">
        <w:rPr>
          <w:rFonts w:ascii="Arial" w:hAnsi="Arial"/>
          <w:sz w:val="20"/>
          <w:szCs w:val="20"/>
        </w:rPr>
        <w:t>(</w:t>
      </w:r>
      <w:r>
        <w:rPr>
          <w:rFonts w:ascii="Arial" w:hAnsi="Arial"/>
          <w:sz w:val="20"/>
          <w:szCs w:val="20"/>
        </w:rPr>
        <w:t>2</w:t>
      </w:r>
      <w:r w:rsidRPr="00627294">
        <w:rPr>
          <w:rFonts w:ascii="Arial" w:hAnsi="Arial"/>
          <w:sz w:val="20"/>
          <w:szCs w:val="20"/>
        </w:rPr>
        <w:t>,</w:t>
      </w:r>
      <w:r>
        <w:rPr>
          <w:rFonts w:ascii="Arial" w:hAnsi="Arial"/>
          <w:sz w:val="20"/>
          <w:szCs w:val="20"/>
        </w:rPr>
        <w:t>13</w:t>
      </w:r>
      <w:r w:rsidRPr="00627294">
        <w:rPr>
          <w:rFonts w:ascii="Arial" w:hAnsi="Arial"/>
          <w:sz w:val="20"/>
          <w:szCs w:val="20"/>
        </w:rPr>
        <w:t xml:space="preserve">). Some hypothesize </w:t>
      </w:r>
      <w:r>
        <w:rPr>
          <w:rFonts w:ascii="Arial" w:hAnsi="Arial"/>
          <w:sz w:val="20"/>
          <w:szCs w:val="20"/>
        </w:rPr>
        <w:t xml:space="preserve">this </w:t>
      </w:r>
      <w:r w:rsidRPr="00627294">
        <w:rPr>
          <w:rFonts w:ascii="Arial" w:hAnsi="Arial"/>
          <w:sz w:val="20"/>
          <w:szCs w:val="20"/>
        </w:rPr>
        <w:t xml:space="preserve">may be related to co-morbidities </w:t>
      </w:r>
      <w:r>
        <w:rPr>
          <w:rFonts w:ascii="Arial" w:hAnsi="Arial"/>
          <w:sz w:val="20"/>
          <w:szCs w:val="20"/>
        </w:rPr>
        <w:t>and/</w:t>
      </w:r>
      <w:r w:rsidRPr="00627294">
        <w:rPr>
          <w:rFonts w:ascii="Arial" w:hAnsi="Arial"/>
          <w:sz w:val="20"/>
          <w:szCs w:val="20"/>
        </w:rPr>
        <w:t>or research methodologies (</w:t>
      </w:r>
      <w:r>
        <w:rPr>
          <w:rFonts w:ascii="Arial" w:hAnsi="Arial"/>
          <w:sz w:val="20"/>
          <w:szCs w:val="20"/>
        </w:rPr>
        <w:t>13</w:t>
      </w:r>
      <w:r w:rsidRPr="00627294">
        <w:rPr>
          <w:rFonts w:ascii="Arial" w:hAnsi="Arial"/>
          <w:sz w:val="20"/>
          <w:szCs w:val="20"/>
        </w:rPr>
        <w:t>).</w:t>
      </w:r>
    </w:p>
    <w:p w:rsidR="00240EF4" w:rsidRPr="00EB787D" w:rsidRDefault="00240EF4" w:rsidP="00240EF4">
      <w:pPr>
        <w:pStyle w:val="ListParagraph"/>
        <w:numPr>
          <w:ilvl w:val="0"/>
          <w:numId w:val="1"/>
        </w:numPr>
        <w:spacing w:after="0"/>
        <w:rPr>
          <w:rFonts w:ascii="Arial" w:hAnsi="Arial"/>
          <w:b/>
          <w:sz w:val="20"/>
          <w:szCs w:val="20"/>
        </w:rPr>
      </w:pPr>
      <w:r w:rsidRPr="00EB787D">
        <w:rPr>
          <w:rFonts w:ascii="Arial" w:hAnsi="Arial"/>
          <w:sz w:val="20"/>
          <w:szCs w:val="20"/>
        </w:rPr>
        <w:t xml:space="preserve">Often prognosis is more centered around patient specific goals regarding acceptance or not of repeat hospitalizations and treatment of potentially reversible complications. </w:t>
      </w:r>
    </w:p>
    <w:p w:rsidR="00240EF4" w:rsidRPr="007B4195" w:rsidRDefault="00240EF4" w:rsidP="00240EF4">
      <w:pPr>
        <w:pStyle w:val="ListParagraph"/>
        <w:numPr>
          <w:ilvl w:val="0"/>
          <w:numId w:val="1"/>
        </w:numPr>
        <w:spacing w:after="0"/>
        <w:rPr>
          <w:rFonts w:ascii="Arial" w:hAnsi="Arial"/>
          <w:b/>
          <w:sz w:val="20"/>
          <w:szCs w:val="20"/>
        </w:rPr>
      </w:pPr>
      <w:r>
        <w:rPr>
          <w:rFonts w:ascii="Arial" w:hAnsi="Arial"/>
          <w:sz w:val="20"/>
          <w:szCs w:val="20"/>
        </w:rPr>
        <w:t>Although observational studies have shown inconsistent findings, elderly</w:t>
      </w:r>
      <w:r w:rsidRPr="00627294">
        <w:rPr>
          <w:rFonts w:ascii="Arial" w:hAnsi="Arial"/>
          <w:sz w:val="20"/>
          <w:szCs w:val="20"/>
        </w:rPr>
        <w:t xml:space="preserve"> </w:t>
      </w:r>
      <w:r>
        <w:rPr>
          <w:rFonts w:ascii="Arial" w:hAnsi="Arial"/>
          <w:sz w:val="20"/>
          <w:szCs w:val="20"/>
        </w:rPr>
        <w:t xml:space="preserve">end stage renal disease </w:t>
      </w:r>
      <w:r w:rsidRPr="00627294">
        <w:rPr>
          <w:rFonts w:ascii="Arial" w:hAnsi="Arial"/>
          <w:sz w:val="20"/>
          <w:szCs w:val="20"/>
        </w:rPr>
        <w:t xml:space="preserve">patients </w:t>
      </w:r>
      <w:r>
        <w:rPr>
          <w:rFonts w:ascii="Arial" w:hAnsi="Arial"/>
          <w:sz w:val="20"/>
          <w:szCs w:val="20"/>
        </w:rPr>
        <w:t>who forgo initiating hemodialysis</w:t>
      </w:r>
      <w:r w:rsidRPr="00627294">
        <w:rPr>
          <w:rFonts w:ascii="Arial" w:hAnsi="Arial"/>
          <w:sz w:val="20"/>
          <w:szCs w:val="20"/>
        </w:rPr>
        <w:t xml:space="preserve"> </w:t>
      </w:r>
      <w:r>
        <w:rPr>
          <w:rFonts w:ascii="Arial" w:hAnsi="Arial"/>
          <w:sz w:val="20"/>
          <w:szCs w:val="20"/>
        </w:rPr>
        <w:t xml:space="preserve">may be more likely to have </w:t>
      </w:r>
      <w:r w:rsidRPr="00627294">
        <w:rPr>
          <w:rFonts w:ascii="Arial" w:hAnsi="Arial"/>
          <w:sz w:val="20"/>
          <w:szCs w:val="20"/>
        </w:rPr>
        <w:t>a</w:t>
      </w:r>
      <w:r>
        <w:rPr>
          <w:rFonts w:ascii="Arial" w:hAnsi="Arial"/>
          <w:sz w:val="20"/>
          <w:szCs w:val="20"/>
        </w:rPr>
        <w:t>n illness trajectory similar to sudden death –</w:t>
      </w:r>
      <w:r w:rsidRPr="00627294">
        <w:rPr>
          <w:rFonts w:ascii="Arial" w:hAnsi="Arial"/>
          <w:sz w:val="20"/>
          <w:szCs w:val="20"/>
        </w:rPr>
        <w:t xml:space="preserve"> stable function for months with a </w:t>
      </w:r>
      <w:r w:rsidRPr="00627294">
        <w:rPr>
          <w:rFonts w:ascii="Arial" w:hAnsi="Arial" w:cs="Arial"/>
          <w:sz w:val="20"/>
          <w:szCs w:val="20"/>
        </w:rPr>
        <w:t xml:space="preserve">rapid </w:t>
      </w:r>
      <w:r>
        <w:rPr>
          <w:rFonts w:ascii="Arial" w:hAnsi="Arial" w:cs="Arial"/>
          <w:sz w:val="20"/>
          <w:szCs w:val="20"/>
        </w:rPr>
        <w:t>end of life deterioration</w:t>
      </w:r>
      <w:r w:rsidRPr="00627294">
        <w:rPr>
          <w:rFonts w:ascii="Arial" w:hAnsi="Arial" w:cs="Arial"/>
          <w:sz w:val="20"/>
          <w:szCs w:val="20"/>
        </w:rPr>
        <w:t xml:space="preserve"> (1</w:t>
      </w:r>
      <w:r>
        <w:rPr>
          <w:rFonts w:ascii="Arial" w:hAnsi="Arial" w:cs="Arial"/>
          <w:sz w:val="20"/>
          <w:szCs w:val="20"/>
        </w:rPr>
        <w:t>4-16</w:t>
      </w:r>
      <w:r w:rsidRPr="00627294">
        <w:rPr>
          <w:rFonts w:ascii="Arial" w:hAnsi="Arial" w:cs="Arial"/>
          <w:sz w:val="20"/>
          <w:szCs w:val="20"/>
        </w:rPr>
        <w:t>).</w:t>
      </w:r>
      <w:r>
        <w:rPr>
          <w:rFonts w:ascii="Arial" w:hAnsi="Arial" w:cs="Arial"/>
          <w:sz w:val="20"/>
          <w:szCs w:val="20"/>
        </w:rPr>
        <w:t xml:space="preserve"> </w:t>
      </w:r>
    </w:p>
    <w:p w:rsidR="00240EF4" w:rsidRDefault="00240EF4" w:rsidP="00240EF4">
      <w:pPr>
        <w:pStyle w:val="ListParagraph"/>
        <w:spacing w:after="0"/>
        <w:ind w:left="360"/>
        <w:rPr>
          <w:rFonts w:ascii="Arial" w:hAnsi="Arial"/>
          <w:b/>
          <w:sz w:val="20"/>
          <w:szCs w:val="20"/>
        </w:rPr>
      </w:pPr>
    </w:p>
    <w:p w:rsidR="00240EF4" w:rsidRPr="00EB787D" w:rsidRDefault="00240EF4" w:rsidP="00240EF4">
      <w:pPr>
        <w:rPr>
          <w:rFonts w:ascii="Arial" w:hAnsi="Arial"/>
          <w:sz w:val="20"/>
          <w:szCs w:val="20"/>
        </w:rPr>
      </w:pPr>
      <w:r w:rsidRPr="00EB787D">
        <w:rPr>
          <w:rFonts w:ascii="Arial" w:hAnsi="Arial"/>
          <w:sz w:val="20"/>
          <w:szCs w:val="20"/>
          <w:u w:val="single"/>
        </w:rPr>
        <w:lastRenderedPageBreak/>
        <w:t>Sudden Death</w:t>
      </w:r>
      <w:r>
        <w:rPr>
          <w:rFonts w:ascii="Arial" w:hAnsi="Arial"/>
          <w:sz w:val="20"/>
          <w:szCs w:val="20"/>
          <w:u w:val="single"/>
        </w:rPr>
        <w:t xml:space="preserve"> or Decline</w:t>
      </w:r>
      <w:r w:rsidRPr="00EB787D">
        <w:rPr>
          <w:rFonts w:ascii="Arial" w:hAnsi="Arial"/>
          <w:sz w:val="20"/>
          <w:szCs w:val="20"/>
          <w:u w:val="single"/>
        </w:rPr>
        <w:t>:</w:t>
      </w:r>
      <w:r>
        <w:rPr>
          <w:rFonts w:ascii="Arial" w:hAnsi="Arial"/>
          <w:sz w:val="20"/>
          <w:szCs w:val="20"/>
        </w:rPr>
        <w:t xml:space="preserve"> An abrupt change from normal physical function to either death or significant medical disability, often as a result of trauma or an acute cardiopulmonary/neurologic event.  Many times there is little or no prior interaction with the health system nor a recognizable pattern of functional decline preceding the event (1,9). Thus, intense displays of shock or anger are common from family members when clinicians break bad news.  See </w:t>
      </w:r>
      <w:r w:rsidRPr="008557C1">
        <w:rPr>
          <w:rFonts w:ascii="Arial" w:hAnsi="Arial"/>
          <w:i/>
          <w:sz w:val="20"/>
          <w:szCs w:val="20"/>
        </w:rPr>
        <w:t>Fast Fact</w:t>
      </w:r>
      <w:r>
        <w:rPr>
          <w:rFonts w:ascii="Arial" w:hAnsi="Arial"/>
          <w:sz w:val="20"/>
          <w:szCs w:val="20"/>
        </w:rPr>
        <w:t xml:space="preserve"> #305.  Loved ones are at increased risk for depression and complicated grief as they adjust to the new medical reality after the event (17,18). </w:t>
      </w:r>
    </w:p>
    <w:p w:rsidR="00240EF4" w:rsidRPr="00AD3E26" w:rsidRDefault="00240EF4" w:rsidP="00240EF4">
      <w:pPr>
        <w:rPr>
          <w:rFonts w:ascii="Arial" w:hAnsi="Arial"/>
          <w:sz w:val="20"/>
          <w:szCs w:val="20"/>
        </w:rPr>
      </w:pPr>
    </w:p>
    <w:p w:rsidR="00240EF4" w:rsidRPr="00627294" w:rsidRDefault="00240EF4" w:rsidP="00240EF4">
      <w:pPr>
        <w:rPr>
          <w:rFonts w:ascii="Arial" w:hAnsi="Arial"/>
          <w:b/>
          <w:sz w:val="20"/>
          <w:szCs w:val="20"/>
        </w:rPr>
      </w:pPr>
      <w:r>
        <w:rPr>
          <w:rFonts w:ascii="Arial" w:hAnsi="Arial"/>
          <w:b/>
          <w:sz w:val="20"/>
          <w:szCs w:val="20"/>
        </w:rPr>
        <w:t>Clinical Use</w:t>
      </w:r>
      <w:r w:rsidRPr="00A51356">
        <w:rPr>
          <w:rFonts w:ascii="Arial" w:hAnsi="Arial"/>
          <w:b/>
          <w:sz w:val="20"/>
          <w:szCs w:val="20"/>
        </w:rPr>
        <w:t>:</w:t>
      </w:r>
      <w:r>
        <w:rPr>
          <w:rFonts w:ascii="Arial" w:hAnsi="Arial"/>
          <w:b/>
          <w:sz w:val="20"/>
          <w:szCs w:val="20"/>
        </w:rPr>
        <w:t xml:space="preserve">  </w:t>
      </w:r>
      <w:r>
        <w:rPr>
          <w:rFonts w:ascii="Arial" w:hAnsi="Arial"/>
          <w:sz w:val="20"/>
          <w:szCs w:val="20"/>
        </w:rPr>
        <w:t>Although there is no known published data assessing the effectiveness of utilizing the illness trajectories as a clinical teaching tool, describing or even diagramming these illness trajectories with patients and families may be a concise communication technique to set expectations and offer guidance regarding the anticipated impact of chronic illness on daily life. Clinicians should be aware of the significant variability in the medical literature regarding the validity of these illness trajectories as well as the limitations in the way functional decline is measured between studies. Therefore, it is vital that illness trajectories be reevaluated as the condition evolves. In particular, certain patterns such as an abrupt functional decline or frequent hospitalizations may indicate the need to readdress goals of care.</w:t>
      </w:r>
    </w:p>
    <w:p w:rsidR="00240EF4" w:rsidRDefault="00240EF4" w:rsidP="00240EF4">
      <w:pPr>
        <w:rPr>
          <w:rFonts w:ascii="Arial" w:hAnsi="Arial"/>
          <w:sz w:val="20"/>
          <w:szCs w:val="20"/>
        </w:rPr>
      </w:pPr>
    </w:p>
    <w:p w:rsidR="00240EF4" w:rsidRDefault="00240EF4" w:rsidP="00240EF4">
      <w:pPr>
        <w:rPr>
          <w:rFonts w:ascii="Arial" w:hAnsi="Arial"/>
          <w:b/>
          <w:sz w:val="20"/>
          <w:szCs w:val="20"/>
        </w:rPr>
      </w:pPr>
      <w:r w:rsidRPr="00695A0A">
        <w:rPr>
          <w:rFonts w:ascii="Arial" w:hAnsi="Arial"/>
          <w:b/>
          <w:sz w:val="20"/>
          <w:szCs w:val="20"/>
        </w:rPr>
        <w:t>References:</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Lunney JR, Lynn J, Foley D, et al; Patterns of Functional Decline at the End of Life. </w:t>
      </w:r>
      <w:r w:rsidRPr="008557C1">
        <w:rPr>
          <w:rFonts w:ascii="Arial" w:hAnsi="Arial"/>
          <w:i/>
          <w:sz w:val="20"/>
          <w:szCs w:val="20"/>
        </w:rPr>
        <w:t>JAMA</w:t>
      </w:r>
      <w:r w:rsidRPr="008557C1">
        <w:rPr>
          <w:rFonts w:ascii="Arial" w:hAnsi="Arial"/>
          <w:sz w:val="20"/>
          <w:szCs w:val="20"/>
        </w:rPr>
        <w:t>. 2003;289(18): 2387-2392.</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Gill TM, Gahbauer EA, Han L, et al; Trajectories of Disability in the Last Year of Life. </w:t>
      </w:r>
      <w:r w:rsidRPr="008557C1">
        <w:rPr>
          <w:rFonts w:ascii="Arial" w:hAnsi="Arial"/>
          <w:i/>
          <w:sz w:val="20"/>
          <w:szCs w:val="20"/>
        </w:rPr>
        <w:t>The New England Journal of Medicine</w:t>
      </w:r>
      <w:r w:rsidRPr="008557C1">
        <w:rPr>
          <w:rFonts w:ascii="Arial" w:hAnsi="Arial"/>
          <w:sz w:val="20"/>
          <w:szCs w:val="20"/>
        </w:rPr>
        <w:t>. 2010;362(13): 1173-1180.</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Gill TM, Gahbauer EA, Han L, et al; The role of intervening hospital admission on trajectories of disability in the last year of life: prospective cohort study of older people. </w:t>
      </w:r>
      <w:r w:rsidRPr="008557C1">
        <w:rPr>
          <w:rFonts w:ascii="Arial" w:hAnsi="Arial"/>
          <w:i/>
          <w:sz w:val="20"/>
          <w:szCs w:val="20"/>
        </w:rPr>
        <w:t>BMJ</w:t>
      </w:r>
      <w:r w:rsidRPr="008557C1">
        <w:rPr>
          <w:rFonts w:ascii="Arial" w:hAnsi="Arial"/>
          <w:sz w:val="20"/>
          <w:szCs w:val="20"/>
        </w:rPr>
        <w:t>. 2015;350:1-8.</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Steinhauser KE, Arnold RM, Olsen MK, et al. Comparing Three Life-Limiting Diseases: Does Diagnosis Matter or Is Sick, Sick? </w:t>
      </w:r>
      <w:r w:rsidRPr="008557C1">
        <w:rPr>
          <w:rFonts w:ascii="Arial" w:hAnsi="Arial"/>
          <w:i/>
          <w:sz w:val="20"/>
          <w:szCs w:val="20"/>
        </w:rPr>
        <w:t>J Pain Symptom Manage</w:t>
      </w:r>
      <w:r w:rsidRPr="008557C1">
        <w:rPr>
          <w:rFonts w:ascii="Arial" w:hAnsi="Arial"/>
          <w:sz w:val="20"/>
          <w:szCs w:val="20"/>
        </w:rPr>
        <w:t>. 2011; 42(3): 331-341.</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Seow, H, Barbera L, Sutradhar R, et al. Trajectory of Performance Status and Symptom Scores for Patients With Cancer During the Last Six Months of Life. Journal of Oncology. 2011; 29(9): 1151 – 1158. </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Tang ST, Liu LN, Lin KC, et al; Trajectories of the Multidimensional Dying Experience for Terminally Ill Cancer Patients. </w:t>
      </w:r>
      <w:r w:rsidRPr="008557C1">
        <w:rPr>
          <w:rFonts w:ascii="Arial" w:hAnsi="Arial"/>
          <w:i/>
          <w:sz w:val="20"/>
          <w:szCs w:val="20"/>
        </w:rPr>
        <w:t>Journal of Pain and Symptom Management</w:t>
      </w:r>
      <w:r w:rsidRPr="008557C1">
        <w:rPr>
          <w:rFonts w:ascii="Arial" w:hAnsi="Arial"/>
          <w:sz w:val="20"/>
          <w:szCs w:val="20"/>
        </w:rPr>
        <w:t>. 2014;48(5): 863-874.</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Teno JM, Weitzen S, Fennell ML, et al. Dying Trajectory in the Last Year of Life: Does Cancer Trajectory Fit Other Diseases? Journal of Palliative Medicine. 2001; 4(4): 457 – 464.</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Murray SA, Kendall M, Grant E, et al; Patterns of Social, Psychological, and Spiritual Decline Toward the End of Life in Lung Cancer and Heart Failure. </w:t>
      </w:r>
      <w:r w:rsidRPr="008557C1">
        <w:rPr>
          <w:rFonts w:ascii="Arial" w:hAnsi="Arial"/>
          <w:i/>
          <w:sz w:val="20"/>
          <w:szCs w:val="20"/>
        </w:rPr>
        <w:t>Journal of Pain and Symptom Management</w:t>
      </w:r>
      <w:r w:rsidRPr="008557C1">
        <w:rPr>
          <w:rFonts w:ascii="Arial" w:hAnsi="Arial"/>
          <w:sz w:val="20"/>
          <w:szCs w:val="20"/>
        </w:rPr>
        <w:t>. 2007;34(4): 393-402.</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Lunney JR, Lynn J, Hogan C. Profiles of Older Medicare Decendents. </w:t>
      </w:r>
      <w:r w:rsidRPr="008557C1">
        <w:rPr>
          <w:rFonts w:ascii="Arial" w:hAnsi="Arial"/>
          <w:i/>
          <w:sz w:val="20"/>
          <w:szCs w:val="20"/>
        </w:rPr>
        <w:t>JAGS</w:t>
      </w:r>
      <w:r w:rsidRPr="008557C1">
        <w:rPr>
          <w:rFonts w:ascii="Arial" w:hAnsi="Arial"/>
          <w:sz w:val="20"/>
          <w:szCs w:val="20"/>
        </w:rPr>
        <w:t>. 2002;50:1108-1112.</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Gavazzi, A, De Maria R, Manzoli L, et al. Palliative needs for heart failure or chronic obstructive pulmonary disease: Results of a multicenter observational registry. </w:t>
      </w:r>
      <w:r w:rsidRPr="008557C1">
        <w:rPr>
          <w:rFonts w:ascii="Arial" w:hAnsi="Arial"/>
          <w:i/>
          <w:sz w:val="20"/>
          <w:szCs w:val="20"/>
        </w:rPr>
        <w:t>International Journal of Cardiology</w:t>
      </w:r>
      <w:r w:rsidRPr="008557C1">
        <w:rPr>
          <w:rFonts w:ascii="Arial" w:hAnsi="Arial"/>
          <w:sz w:val="20"/>
          <w:szCs w:val="20"/>
        </w:rPr>
        <w:t>. 2015;184: 552-558.</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Kendall M, Carduff E, Lloyd A, et al; Different Experiences and Goals in Different Advanced Diseases: Comparing Serial Interviews With Patients With Cancer, Organ Failure, or Frailty and Their Family and Professional Carers. Journal of Pain and Symptom Management. 2015;50(2): 216-224.</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Levenson JW, McCarthy EP, Lynn J, et al; The Last Six Months of Life for Patients with Congestive Heart Failure. </w:t>
      </w:r>
      <w:r w:rsidRPr="008557C1">
        <w:rPr>
          <w:rFonts w:ascii="Arial" w:hAnsi="Arial"/>
          <w:i/>
          <w:sz w:val="20"/>
          <w:szCs w:val="20"/>
        </w:rPr>
        <w:t>JAGS</w:t>
      </w:r>
      <w:r w:rsidRPr="008557C1">
        <w:rPr>
          <w:rFonts w:ascii="Arial" w:hAnsi="Arial"/>
          <w:sz w:val="20"/>
          <w:szCs w:val="20"/>
        </w:rPr>
        <w:t>. 2000;48(5): S101-S109.</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Kheribek RE, Alemi F, Citron BA, et al; Trajectory of Illness for Patients with Congestive Heart Failure. Journal of Palliative Medicine. 2013;16(5): 478-484.</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Murtagh, FEM, Addington-Hall J, and Higginson IJ. End-Stage Renal Disease: A New Trajectory of Functional Decline in the Last Year of Life. </w:t>
      </w:r>
      <w:r w:rsidRPr="008557C1">
        <w:rPr>
          <w:rFonts w:ascii="Arial" w:hAnsi="Arial"/>
          <w:i/>
          <w:sz w:val="20"/>
          <w:szCs w:val="20"/>
        </w:rPr>
        <w:t>JAGS</w:t>
      </w:r>
      <w:r w:rsidRPr="008557C1">
        <w:rPr>
          <w:rFonts w:ascii="Arial" w:hAnsi="Arial"/>
          <w:sz w:val="20"/>
          <w:szCs w:val="20"/>
        </w:rPr>
        <w:t>. 2011; 59: 304-308.</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Schell JO, Da Silva-Gane M, and Germain MJ. Recent insights into life expectancy with and without dialysis. </w:t>
      </w:r>
      <w:r w:rsidRPr="008557C1">
        <w:rPr>
          <w:rFonts w:ascii="Arial" w:hAnsi="Arial"/>
          <w:i/>
          <w:sz w:val="20"/>
          <w:szCs w:val="20"/>
        </w:rPr>
        <w:t>Current Opin Nephrol Hypertens</w:t>
      </w:r>
      <w:r w:rsidRPr="008557C1">
        <w:rPr>
          <w:rFonts w:ascii="Arial" w:hAnsi="Arial"/>
          <w:sz w:val="20"/>
          <w:szCs w:val="20"/>
        </w:rPr>
        <w:t>. 2013;22: 185-192.</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Schell JO and O’Hare AM. Illness trajectories and their relevance to the care of adults with kidney disease. </w:t>
      </w:r>
      <w:r w:rsidRPr="008557C1">
        <w:rPr>
          <w:rFonts w:ascii="Arial" w:hAnsi="Arial"/>
          <w:i/>
          <w:sz w:val="20"/>
          <w:szCs w:val="20"/>
        </w:rPr>
        <w:t>Current Opin Nephrol Hypertens</w:t>
      </w:r>
      <w:r w:rsidRPr="008557C1">
        <w:rPr>
          <w:rFonts w:ascii="Arial" w:hAnsi="Arial"/>
          <w:sz w:val="20"/>
          <w:szCs w:val="20"/>
        </w:rPr>
        <w:t>. 2013;22: 316-324.</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Burton, AM, Haley WE, Small BJ. Bereavement after caregiving or unexpected death: Effects on elderly spouses. </w:t>
      </w:r>
      <w:r w:rsidRPr="008557C1">
        <w:rPr>
          <w:rFonts w:ascii="Arial" w:hAnsi="Arial"/>
          <w:i/>
          <w:sz w:val="20"/>
          <w:szCs w:val="20"/>
        </w:rPr>
        <w:t>Aging and Mental Health</w:t>
      </w:r>
      <w:r w:rsidRPr="008557C1">
        <w:rPr>
          <w:rFonts w:ascii="Arial" w:hAnsi="Arial"/>
          <w:sz w:val="20"/>
          <w:szCs w:val="20"/>
        </w:rPr>
        <w:t>. 2006;10(3): 319-326.</w:t>
      </w:r>
    </w:p>
    <w:p w:rsidR="00240EF4" w:rsidRPr="008557C1" w:rsidRDefault="00240EF4" w:rsidP="00240EF4">
      <w:pPr>
        <w:pStyle w:val="ListParagraph"/>
        <w:numPr>
          <w:ilvl w:val="0"/>
          <w:numId w:val="2"/>
        </w:numPr>
        <w:spacing w:after="0"/>
        <w:rPr>
          <w:rFonts w:ascii="Arial" w:hAnsi="Arial"/>
          <w:sz w:val="20"/>
          <w:szCs w:val="20"/>
        </w:rPr>
      </w:pPr>
      <w:r w:rsidRPr="008557C1">
        <w:rPr>
          <w:rFonts w:ascii="Arial" w:hAnsi="Arial"/>
          <w:sz w:val="20"/>
          <w:szCs w:val="20"/>
        </w:rPr>
        <w:t xml:space="preserve">Kristensen, P, Weisaeth L, Heir T. Bereavement and Mental Health after Sudden and Violent Losses: A Review. </w:t>
      </w:r>
      <w:r w:rsidRPr="008557C1">
        <w:rPr>
          <w:rFonts w:ascii="Arial" w:hAnsi="Arial"/>
          <w:i/>
          <w:sz w:val="20"/>
          <w:szCs w:val="20"/>
        </w:rPr>
        <w:t>Psychiatry</w:t>
      </w:r>
      <w:r w:rsidRPr="008557C1">
        <w:rPr>
          <w:rFonts w:ascii="Arial" w:hAnsi="Arial"/>
          <w:sz w:val="20"/>
          <w:szCs w:val="20"/>
        </w:rPr>
        <w:t>. 2012;75(1):76-97.</w:t>
      </w:r>
    </w:p>
    <w:p w:rsidR="00240EF4" w:rsidRDefault="00240EF4" w:rsidP="00240EF4">
      <w:pPr>
        <w:rPr>
          <w:rFonts w:ascii="Arial" w:hAnsi="Arial"/>
          <w:sz w:val="20"/>
          <w:szCs w:val="20"/>
        </w:rPr>
      </w:pPr>
    </w:p>
    <w:p w:rsidR="00240EF4" w:rsidRDefault="00240EF4" w:rsidP="00240EF4">
      <w:pPr>
        <w:rPr>
          <w:rFonts w:ascii="Arial" w:hAnsi="Arial"/>
          <w:sz w:val="20"/>
          <w:szCs w:val="20"/>
        </w:rPr>
      </w:pPr>
      <w:r w:rsidRPr="00BD371A">
        <w:rPr>
          <w:rFonts w:ascii="Arial" w:hAnsi="Arial"/>
          <w:b/>
          <w:sz w:val="20"/>
          <w:szCs w:val="20"/>
        </w:rPr>
        <w:lastRenderedPageBreak/>
        <w:t xml:space="preserve">Author’s Affiliations: </w:t>
      </w:r>
      <w:r w:rsidRPr="00F216BE">
        <w:rPr>
          <w:rFonts w:ascii="Arial" w:hAnsi="Arial"/>
          <w:sz w:val="20"/>
          <w:szCs w:val="20"/>
        </w:rPr>
        <w:t>New York University, New York, NY</w:t>
      </w:r>
    </w:p>
    <w:p w:rsidR="00240EF4" w:rsidRDefault="00240EF4" w:rsidP="00240EF4">
      <w:pPr>
        <w:rPr>
          <w:rFonts w:ascii="Arial" w:hAnsi="Arial"/>
          <w:sz w:val="20"/>
          <w:szCs w:val="20"/>
        </w:rPr>
      </w:pPr>
      <w:r w:rsidRPr="00016929">
        <w:rPr>
          <w:rFonts w:ascii="Arial" w:hAnsi="Arial"/>
          <w:b/>
          <w:sz w:val="20"/>
          <w:szCs w:val="20"/>
        </w:rPr>
        <w:t>Conflicts of Interest</w:t>
      </w:r>
      <w:r>
        <w:rPr>
          <w:rFonts w:ascii="Arial" w:hAnsi="Arial"/>
          <w:sz w:val="20"/>
          <w:szCs w:val="20"/>
        </w:rPr>
        <w:t>: None</w:t>
      </w:r>
    </w:p>
    <w:p w:rsidR="00A96A91" w:rsidRPr="00240EF4" w:rsidRDefault="00240EF4" w:rsidP="00240EF4">
      <w:pPr>
        <w:pStyle w:val="NoSpacing"/>
        <w:rPr>
          <w:rFonts w:ascii="Arial" w:hAnsi="Arial" w:cs="Arial"/>
          <w:sz w:val="20"/>
          <w:szCs w:val="20"/>
        </w:rPr>
      </w:pPr>
      <w:r w:rsidRPr="00016929">
        <w:rPr>
          <w:rFonts w:ascii="Arial" w:hAnsi="Arial"/>
          <w:b/>
          <w:sz w:val="20"/>
          <w:szCs w:val="20"/>
        </w:rPr>
        <w:t>Version History</w:t>
      </w:r>
      <w:r>
        <w:rPr>
          <w:rFonts w:ascii="Arial" w:hAnsi="Arial"/>
          <w:sz w:val="20"/>
          <w:szCs w:val="20"/>
        </w:rPr>
        <w:t xml:space="preserve">: </w:t>
      </w:r>
      <w:r>
        <w:rPr>
          <w:rFonts w:ascii="Arial" w:hAnsi="Arial" w:cs="Arial"/>
          <w:sz w:val="20"/>
          <w:szCs w:val="20"/>
        </w:rPr>
        <w:t>Originally edited by Sean Marks MD; first electronically published in December 2016.</w:t>
      </w:r>
    </w:p>
    <w:p w:rsidR="003F7DF0" w:rsidRDefault="003F7DF0" w:rsidP="00647029">
      <w:pPr>
        <w:rPr>
          <w:rFonts w:ascii="Helvetica" w:hAnsi="Helvetica" w:cs="Helvetica"/>
          <w:b/>
          <w:bCs/>
          <w:i/>
          <w:iCs/>
          <w:sz w:val="20"/>
        </w:rPr>
      </w:pPr>
    </w:p>
    <w:p w:rsidR="00647029" w:rsidRDefault="00647029" w:rsidP="00647029">
      <w:pPr>
        <w:rPr>
          <w:rFonts w:ascii="Helvetica" w:hAnsi="Helvetica" w:cs="Helvetica"/>
          <w:i/>
          <w:iCs/>
          <w:sz w:val="20"/>
        </w:rPr>
      </w:pPr>
      <w:r>
        <w:rPr>
          <w:rFonts w:ascii="Helvetica" w:hAnsi="Helvetica" w:cs="Helvetica"/>
          <w:b/>
          <w:bCs/>
          <w:i/>
          <w:iCs/>
          <w:sz w:val="20"/>
        </w:rPr>
        <w:t>Fast Facts and Concepts</w:t>
      </w:r>
      <w:r>
        <w:rPr>
          <w:rFonts w:ascii="Helvetica" w:hAnsi="Helvetica" w:cs="Helvetica"/>
          <w:b/>
          <w:bCs/>
          <w:sz w:val="20"/>
        </w:rPr>
        <w:t xml:space="preserve"> </w:t>
      </w:r>
      <w:r>
        <w:rPr>
          <w:rFonts w:ascii="Helvetica" w:hAnsi="Helvetica" w:cs="Helvetica"/>
          <w:sz w:val="20"/>
        </w:rPr>
        <w:t xml:space="preserve">are edited by Sean Marks MD (Medical College of Wisconsin) and associate editor Drew A Rosielle MD (University of Minnesota Medical School), with the generous support of a volunteer peer-review editorial board, and are made available online by the </w:t>
      </w:r>
      <w:hyperlink r:id="rId10" w:history="1">
        <w:r>
          <w:rPr>
            <w:rStyle w:val="Hyperlink"/>
            <w:rFonts w:ascii="Helvetica" w:hAnsi="Helvetica" w:cs="Helvetica"/>
            <w:color w:val="386EFF"/>
            <w:sz w:val="20"/>
          </w:rPr>
          <w:t>Palliative Care Network of Wisconsin</w:t>
        </w:r>
      </w:hyperlink>
      <w:r>
        <w:rPr>
          <w:rFonts w:ascii="Helvetica" w:hAnsi="Helvetica" w:cs="Helvetica"/>
          <w:sz w:val="20"/>
        </w:rPr>
        <w:t xml:space="preserve"> (PCNOW); the authors of each individual </w:t>
      </w:r>
      <w:r>
        <w:rPr>
          <w:rFonts w:ascii="Helvetica" w:hAnsi="Helvetica" w:cs="Helvetica"/>
          <w:i/>
          <w:iCs/>
          <w:sz w:val="20"/>
        </w:rPr>
        <w:t xml:space="preserve">Fast Fact </w:t>
      </w:r>
      <w:r>
        <w:rPr>
          <w:rFonts w:ascii="Helvetica" w:hAnsi="Helvetica" w:cs="Helvetica"/>
          <w:sz w:val="20"/>
        </w:rPr>
        <w:t xml:space="preserve">are solely responsible for that </w:t>
      </w:r>
      <w:r>
        <w:rPr>
          <w:rFonts w:ascii="Helvetica" w:hAnsi="Helvetica" w:cs="Helvetica"/>
          <w:i/>
          <w:iCs/>
          <w:sz w:val="20"/>
        </w:rPr>
        <w:t>Fast Fact’s</w:t>
      </w:r>
      <w:r>
        <w:rPr>
          <w:rFonts w:ascii="Helvetica" w:hAnsi="Helvetica" w:cs="Helvetica"/>
          <w:sz w:val="20"/>
        </w:rPr>
        <w:t xml:space="preserve"> content. The full set of </w:t>
      </w:r>
      <w:r>
        <w:rPr>
          <w:rFonts w:ascii="Helvetica" w:hAnsi="Helvetica" w:cs="Helvetica"/>
          <w:i/>
          <w:iCs/>
          <w:sz w:val="20"/>
        </w:rPr>
        <w:t xml:space="preserve">Fast Facts </w:t>
      </w:r>
      <w:r>
        <w:rPr>
          <w:rFonts w:ascii="Helvetica" w:hAnsi="Helvetica" w:cs="Helvetica"/>
          <w:sz w:val="20"/>
        </w:rPr>
        <w:t xml:space="preserve">are available at </w:t>
      </w:r>
      <w:hyperlink r:id="rId11" w:history="1">
        <w:r>
          <w:rPr>
            <w:rStyle w:val="Hyperlink"/>
            <w:rFonts w:ascii="Helvetica" w:hAnsi="Helvetica" w:cs="Helvetica"/>
            <w:color w:val="386EFF"/>
            <w:sz w:val="20"/>
          </w:rPr>
          <w:t>Palliative Care Network of Wisconsin</w:t>
        </w:r>
      </w:hyperlink>
      <w:r>
        <w:rPr>
          <w:rFonts w:ascii="Helvetica" w:hAnsi="Helvetica" w:cs="Helvetica"/>
          <w:sz w:val="20"/>
        </w:rPr>
        <w:t xml:space="preserve"> </w:t>
      </w:r>
      <w:r w:rsidRPr="00647029">
        <w:rPr>
          <w:rFonts w:ascii="Helvetica" w:hAnsi="Helvetica" w:cs="Helvetica"/>
          <w:sz w:val="20"/>
        </w:rPr>
        <w:t>with</w:t>
      </w:r>
      <w:r>
        <w:rPr>
          <w:rFonts w:ascii="Helvetica" w:hAnsi="Helvetica" w:cs="Helvetica"/>
          <w:sz w:val="20"/>
        </w:rPr>
        <w:t xml:space="preserve"> contact information, and how to reference </w:t>
      </w:r>
      <w:r>
        <w:rPr>
          <w:rFonts w:ascii="Helvetica" w:hAnsi="Helvetica" w:cs="Helvetica"/>
          <w:i/>
          <w:iCs/>
          <w:sz w:val="20"/>
        </w:rPr>
        <w:t>Fast Facts.</w:t>
      </w:r>
    </w:p>
    <w:p w:rsidR="00647029" w:rsidRDefault="00647029" w:rsidP="00647029">
      <w:pPr>
        <w:rPr>
          <w:rFonts w:ascii="Helvetica" w:hAnsi="Helvetica" w:cs="Arial"/>
          <w:b/>
          <w:bCs/>
          <w:sz w:val="20"/>
        </w:rPr>
      </w:pPr>
      <w:r>
        <w:rPr>
          <w:rFonts w:ascii="Helvetica" w:hAnsi="Helvetica" w:cs="Arial"/>
          <w:b/>
          <w:bCs/>
          <w:sz w:val="20"/>
        </w:rPr>
        <w:t xml:space="preserve">Copyright: </w:t>
      </w:r>
      <w:r>
        <w:rPr>
          <w:rFonts w:ascii="Helvetica" w:hAnsi="Helvetica" w:cs="Arial"/>
          <w:bCs/>
          <w:sz w:val="20"/>
        </w:rPr>
        <w:t xml:space="preserve"> All </w:t>
      </w:r>
      <w:r>
        <w:rPr>
          <w:rFonts w:ascii="Helvetica" w:hAnsi="Helvetica" w:cs="Arial"/>
          <w:bCs/>
          <w:i/>
          <w:sz w:val="20"/>
        </w:rPr>
        <w:t xml:space="preserve">Fast Facts and Concepts </w:t>
      </w:r>
      <w:r>
        <w:rPr>
          <w:rFonts w:ascii="Helvetica" w:hAnsi="Helvetica" w:cs="Arial"/>
          <w:bCs/>
          <w:sz w:val="20"/>
        </w:rPr>
        <w:t>are published under a Creative Commons Attribution-NonCommercial 4.0 International Copyright (</w:t>
      </w:r>
      <w:hyperlink r:id="rId12" w:history="1">
        <w:r>
          <w:rPr>
            <w:rStyle w:val="Hyperlink"/>
            <w:rFonts w:ascii="Helvetica" w:hAnsi="Helvetica" w:cs="Arial"/>
            <w:bCs/>
            <w:sz w:val="20"/>
          </w:rPr>
          <w:t>http://creativecommons.org/licenses/by-nc/4.0/</w:t>
        </w:r>
      </w:hyperlink>
      <w:r>
        <w:rPr>
          <w:rFonts w:ascii="Helvetica" w:hAnsi="Helvetica" w:cs="Arial"/>
          <w:bCs/>
          <w:sz w:val="20"/>
        </w:rPr>
        <w:t xml:space="preserve">).  </w:t>
      </w:r>
      <w:r>
        <w:rPr>
          <w:rFonts w:ascii="Helvetica" w:hAnsi="Helvetica" w:cs="Arial"/>
          <w:bCs/>
          <w:i/>
          <w:sz w:val="20"/>
        </w:rPr>
        <w:t xml:space="preserve">Fast Facts </w:t>
      </w:r>
      <w:r>
        <w:rPr>
          <w:rFonts w:ascii="Helvetica" w:hAnsi="Helvetica" w:cs="Arial"/>
          <w:bCs/>
          <w:sz w:val="20"/>
        </w:rPr>
        <w:t xml:space="preserve">can only be copied and distributed for non-commercial, educational purposes. If you adapt or distribute a </w:t>
      </w:r>
      <w:r>
        <w:rPr>
          <w:rFonts w:ascii="Helvetica" w:hAnsi="Helvetica" w:cs="Arial"/>
          <w:bCs/>
          <w:i/>
          <w:sz w:val="20"/>
        </w:rPr>
        <w:t>Fast Fact</w:t>
      </w:r>
      <w:r>
        <w:rPr>
          <w:rFonts w:ascii="Helvetica" w:hAnsi="Helvetica" w:cs="Arial"/>
          <w:bCs/>
          <w:sz w:val="20"/>
        </w:rPr>
        <w:t>, let us know!</w:t>
      </w:r>
    </w:p>
    <w:p w:rsidR="00647029" w:rsidRDefault="00647029" w:rsidP="00647029">
      <w:pPr>
        <w:widowControl w:val="0"/>
        <w:autoSpaceDE w:val="0"/>
        <w:autoSpaceDN w:val="0"/>
        <w:adjustRightInd w:val="0"/>
        <w:rPr>
          <w:rFonts w:ascii="Helvetica" w:hAnsi="Helvetica" w:cs="Arial"/>
          <w:sz w:val="20"/>
        </w:rPr>
      </w:pPr>
      <w:r>
        <w:rPr>
          <w:rFonts w:ascii="Helvetica" w:hAnsi="Helvetica" w:cs="Arial"/>
          <w:b/>
          <w:bCs/>
          <w:sz w:val="20"/>
        </w:rPr>
        <w:t>Disclaimer:</w:t>
      </w:r>
      <w:r>
        <w:rPr>
          <w:rFonts w:ascii="Helvetica" w:hAnsi="Helvetica" w:cs="Arial"/>
          <w:bCs/>
          <w:sz w:val="20"/>
        </w:rPr>
        <w:t xml:space="preserve"> </w:t>
      </w:r>
      <w:r>
        <w:rPr>
          <w:rFonts w:ascii="Helvetica" w:hAnsi="Helvetica" w:cs="Arial"/>
          <w:bCs/>
          <w:i/>
          <w:sz w:val="20"/>
        </w:rPr>
        <w:t>Fast Facts and Concepts</w:t>
      </w:r>
      <w:r>
        <w:rPr>
          <w:rFonts w:ascii="Helvetica" w:hAnsi="Helvetica" w:cs="Arial"/>
          <w:bCs/>
          <w:sz w:val="20"/>
        </w:rPr>
        <w:t xml:space="preserve"> provide educational information for health care professionals. This information is not medical advice. </w:t>
      </w:r>
      <w:r>
        <w:rPr>
          <w:rFonts w:ascii="Helvetica" w:hAnsi="Helvetica" w:cs="Arial"/>
          <w:bCs/>
          <w:i/>
          <w:sz w:val="20"/>
        </w:rPr>
        <w:t xml:space="preserve">Fast Facts </w:t>
      </w:r>
      <w:r>
        <w:rPr>
          <w:rFonts w:ascii="Helvetica" w:hAnsi="Helvetica" w:cs="Arial"/>
          <w:bCs/>
          <w:sz w:val="20"/>
        </w:rPr>
        <w:t xml:space="preserve">are not continually updated, and new safety information may emerge after a </w:t>
      </w:r>
      <w:r>
        <w:rPr>
          <w:rFonts w:ascii="Helvetica" w:hAnsi="Helvetica" w:cs="Arial"/>
          <w:bCs/>
          <w:i/>
          <w:sz w:val="20"/>
        </w:rPr>
        <w:t xml:space="preserve">Fast Fact </w:t>
      </w:r>
      <w:r>
        <w:rPr>
          <w:rFonts w:ascii="Helvetica" w:hAnsi="Helvetica" w:cs="Arial"/>
          <w:bCs/>
          <w:sz w:val="20"/>
        </w:rPr>
        <w:t xml:space="preserve">is published. Health care providers should always exercise their own independent clinical judgment and consult other relevant and up-to-date experts and resources. Some </w:t>
      </w:r>
      <w:r>
        <w:rPr>
          <w:rFonts w:ascii="Helvetica" w:hAnsi="Helvetica" w:cs="Arial"/>
          <w:bCs/>
          <w:i/>
          <w:sz w:val="20"/>
        </w:rPr>
        <w:t>Fast Facts</w:t>
      </w:r>
      <w:r>
        <w:rPr>
          <w:rFonts w:ascii="Helvetica" w:hAnsi="Helvetica" w:cs="Arial"/>
          <w:bCs/>
          <w:sz w:val="20"/>
        </w:rPr>
        <w:t xml:space="preserve"> cite the use of a product in a dosage, for an indication, or in a manner other than that recommended in the product labeling. Accordingly, the official prescribing information should be consulted before any such product is used.</w:t>
      </w:r>
    </w:p>
    <w:p w:rsidR="00647029" w:rsidRDefault="00647029" w:rsidP="00647029">
      <w:pPr>
        <w:pStyle w:val="Header"/>
        <w:tabs>
          <w:tab w:val="clear" w:pos="4320"/>
          <w:tab w:val="clear" w:pos="8640"/>
        </w:tabs>
        <w:spacing w:after="0" w:line="240" w:lineRule="auto"/>
        <w:rPr>
          <w:rFonts w:ascii="Arial" w:hAnsi="Arial"/>
        </w:rPr>
      </w:pPr>
    </w:p>
    <w:p w:rsidR="0099092F" w:rsidRDefault="0099092F"/>
    <w:p w:rsidR="00647029" w:rsidRDefault="00647029"/>
    <w:p w:rsidR="00647029" w:rsidRDefault="00515843">
      <w:r>
        <w:tab/>
      </w:r>
      <w:r>
        <w:tab/>
      </w:r>
    </w:p>
    <w:p w:rsidR="00515843" w:rsidRDefault="00515843"/>
    <w:sectPr w:rsidR="00515843" w:rsidSect="00240EF4">
      <w:pgSz w:w="12240" w:h="15840"/>
      <w:pgMar w:top="1440" w:right="1080" w:bottom="1440" w:left="1080" w:header="720" w:footer="720" w:gutter="0"/>
      <w:pgBorders>
        <w:top w:val="single" w:sz="36" w:space="1" w:color="660066"/>
        <w:left w:val="single" w:sz="36" w:space="4" w:color="660066"/>
        <w:bottom w:val="single" w:sz="36" w:space="1" w:color="660066"/>
        <w:right w:val="single" w:sz="36" w:space="4" w:color="6600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9C" w:rsidRDefault="00EE379C" w:rsidP="00A96A91">
      <w:r>
        <w:separator/>
      </w:r>
    </w:p>
  </w:endnote>
  <w:endnote w:type="continuationSeparator" w:id="0">
    <w:p w:rsidR="00EE379C" w:rsidRDefault="00EE379C" w:rsidP="00A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9C" w:rsidRDefault="00EE379C" w:rsidP="00A96A91">
      <w:r>
        <w:separator/>
      </w:r>
    </w:p>
  </w:footnote>
  <w:footnote w:type="continuationSeparator" w:id="0">
    <w:p w:rsidR="00EE379C" w:rsidRDefault="00EE379C" w:rsidP="00A9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82F"/>
    <w:multiLevelType w:val="hybridMultilevel"/>
    <w:tmpl w:val="31F6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60AF5"/>
    <w:multiLevelType w:val="hybridMultilevel"/>
    <w:tmpl w:val="15C6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9"/>
    <w:rsid w:val="000E27E0"/>
    <w:rsid w:val="00240EF4"/>
    <w:rsid w:val="0027014F"/>
    <w:rsid w:val="002A13DA"/>
    <w:rsid w:val="00321F34"/>
    <w:rsid w:val="003F7DF0"/>
    <w:rsid w:val="00437A32"/>
    <w:rsid w:val="00515843"/>
    <w:rsid w:val="005B0489"/>
    <w:rsid w:val="005E7ACA"/>
    <w:rsid w:val="00647029"/>
    <w:rsid w:val="0065050D"/>
    <w:rsid w:val="0099092F"/>
    <w:rsid w:val="00A96A91"/>
    <w:rsid w:val="00C452E5"/>
    <w:rsid w:val="00DE4245"/>
    <w:rsid w:val="00EE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5898F"/>
  <w14:defaultImageDpi w14:val="300"/>
  <w15:docId w15:val="{164F6541-9A85-4356-8FC4-C05A6F5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70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029"/>
    <w:pPr>
      <w:tabs>
        <w:tab w:val="center" w:pos="4320"/>
        <w:tab w:val="right" w:pos="8640"/>
      </w:tabs>
      <w:spacing w:after="120" w:line="264" w:lineRule="auto"/>
    </w:pPr>
    <w:rPr>
      <w:rFonts w:ascii="Book Antiqua" w:hAnsi="Book Antiqua"/>
      <w:szCs w:val="20"/>
    </w:rPr>
  </w:style>
  <w:style w:type="character" w:customStyle="1" w:styleId="HeaderChar">
    <w:name w:val="Header Char"/>
    <w:basedOn w:val="DefaultParagraphFont"/>
    <w:link w:val="Header"/>
    <w:rsid w:val="00647029"/>
    <w:rPr>
      <w:rFonts w:ascii="Book Antiqua" w:eastAsia="Times New Roman" w:hAnsi="Book Antiqua" w:cs="Times New Roman"/>
      <w:szCs w:val="20"/>
    </w:rPr>
  </w:style>
  <w:style w:type="character" w:styleId="Hyperlink">
    <w:name w:val="Hyperlink"/>
    <w:rsid w:val="00647029"/>
    <w:rPr>
      <w:color w:val="0000FF"/>
      <w:u w:val="single"/>
    </w:rPr>
  </w:style>
  <w:style w:type="paragraph" w:styleId="Footer">
    <w:name w:val="footer"/>
    <w:basedOn w:val="Normal"/>
    <w:link w:val="FooterChar"/>
    <w:rsid w:val="00647029"/>
    <w:pPr>
      <w:tabs>
        <w:tab w:val="center" w:pos="4320"/>
        <w:tab w:val="right" w:pos="8640"/>
      </w:tabs>
    </w:pPr>
  </w:style>
  <w:style w:type="character" w:customStyle="1" w:styleId="FooterChar">
    <w:name w:val="Footer Char"/>
    <w:basedOn w:val="DefaultParagraphFont"/>
    <w:link w:val="Footer"/>
    <w:rsid w:val="0064702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47029"/>
    <w:rPr>
      <w:color w:val="800080" w:themeColor="followedHyperlink"/>
      <w:u w:val="single"/>
    </w:rPr>
  </w:style>
  <w:style w:type="paragraph" w:styleId="BalloonText">
    <w:name w:val="Balloon Text"/>
    <w:basedOn w:val="Normal"/>
    <w:link w:val="BalloonTextChar"/>
    <w:uiPriority w:val="99"/>
    <w:semiHidden/>
    <w:unhideWhenUsed/>
    <w:rsid w:val="00515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43"/>
    <w:rPr>
      <w:rFonts w:ascii="Lucida Grande" w:eastAsia="Times New Roman" w:hAnsi="Lucida Grande" w:cs="Lucida Grande"/>
      <w:sz w:val="18"/>
      <w:szCs w:val="18"/>
    </w:rPr>
  </w:style>
  <w:style w:type="character" w:styleId="HTMLCite">
    <w:name w:val="HTML Cite"/>
    <w:basedOn w:val="DefaultParagraphFont"/>
    <w:uiPriority w:val="99"/>
    <w:semiHidden/>
    <w:unhideWhenUsed/>
    <w:rsid w:val="00321F34"/>
    <w:rPr>
      <w:i/>
      <w:iCs/>
    </w:rPr>
  </w:style>
  <w:style w:type="paragraph" w:styleId="ListParagraph">
    <w:name w:val="List Paragraph"/>
    <w:basedOn w:val="Normal"/>
    <w:uiPriority w:val="34"/>
    <w:qFormat/>
    <w:rsid w:val="00240EF4"/>
    <w:pPr>
      <w:spacing w:after="200"/>
      <w:ind w:left="720"/>
      <w:contextualSpacing/>
    </w:pPr>
    <w:rPr>
      <w:rFonts w:asciiTheme="minorHAnsi" w:eastAsiaTheme="minorEastAsia" w:hAnsiTheme="minorHAnsi" w:cstheme="minorBidi"/>
      <w:lang w:eastAsia="ja-JP"/>
    </w:rPr>
  </w:style>
  <w:style w:type="paragraph" w:styleId="NoSpacing">
    <w:name w:val="No Spacing"/>
    <w:uiPriority w:val="1"/>
    <w:qFormat/>
    <w:rsid w:val="00240EF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pcnow.org"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cnow.org/" TargetMode="External"/><Relationship Id="rId5" Type="http://schemas.openxmlformats.org/officeDocument/2006/relationships/footnotes" Target="footnotes.xml"/><Relationship Id="rId10" Type="http://schemas.openxmlformats.org/officeDocument/2006/relationships/hyperlink" Target="http://www.mypcnow.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Marks, Sean</cp:lastModifiedBy>
  <cp:revision>2</cp:revision>
  <dcterms:created xsi:type="dcterms:W3CDTF">2016-11-14T20:06:00Z</dcterms:created>
  <dcterms:modified xsi:type="dcterms:W3CDTF">2016-11-14T20:06:00Z</dcterms:modified>
</cp:coreProperties>
</file>