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91" w:rsidRPr="00321F34" w:rsidRDefault="00A96A91" w:rsidP="00321F34">
      <w:pPr>
        <w:jc w:val="center"/>
        <w:rPr>
          <w:rFonts w:ascii="Helvetica" w:hAnsi="Helvetica" w:cs="Helvetica"/>
          <w:b/>
          <w:bCs/>
          <w:i/>
          <w:iCs/>
          <w:sz w:val="20"/>
        </w:rPr>
      </w:pPr>
      <w:r>
        <w:rPr>
          <w:rFonts w:cs="Arial"/>
          <w:b/>
          <w:noProof/>
          <w:sz w:val="20"/>
        </w:rPr>
        <w:drawing>
          <wp:inline distT="0" distB="0" distL="0" distR="0" wp14:anchorId="4D12EBF0" wp14:editId="69F23964">
            <wp:extent cx="1778000" cy="317500"/>
            <wp:effectExtent l="0" t="0" r="0" b="12700"/>
            <wp:docPr id="1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9FC" w:rsidRDefault="00A739FC" w:rsidP="00647029">
      <w:pPr>
        <w:rPr>
          <w:rFonts w:ascii="Arial" w:hAnsi="Arial" w:cs="Arial"/>
          <w:sz w:val="20"/>
          <w:szCs w:val="20"/>
        </w:rPr>
      </w:pPr>
    </w:p>
    <w:p w:rsidR="00510FEE" w:rsidRDefault="00510FEE" w:rsidP="00510F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FAST FACTS AND CONCEPTS #340</w:t>
      </w:r>
      <w:r w:rsidRPr="00AE479E">
        <w:rPr>
          <w:rFonts w:ascii="Arial" w:hAnsi="Arial" w:cs="Arial"/>
          <w:b/>
          <w:sz w:val="20"/>
          <w:szCs w:val="20"/>
        </w:rPr>
        <w:br/>
        <w:t>SKELETAL MUSCLE RELAXANTS</w:t>
      </w:r>
    </w:p>
    <w:p w:rsidR="00510FEE" w:rsidRPr="00AE479E" w:rsidRDefault="00510FEE" w:rsidP="00510FEE">
      <w:pPr>
        <w:jc w:val="center"/>
        <w:rPr>
          <w:rFonts w:ascii="Arial" w:hAnsi="Arial" w:cs="Arial"/>
          <w:b/>
          <w:sz w:val="20"/>
          <w:szCs w:val="20"/>
        </w:rPr>
      </w:pPr>
      <w:r w:rsidRPr="00AE479E">
        <w:rPr>
          <w:rFonts w:ascii="Arial" w:hAnsi="Arial" w:cs="Arial"/>
          <w:b/>
          <w:sz w:val="20"/>
          <w:szCs w:val="20"/>
        </w:rPr>
        <w:t>Brittany Hardek, PharmD; Jennifer Pruskowski, PharmD</w:t>
      </w:r>
    </w:p>
    <w:p w:rsidR="00510FEE" w:rsidRPr="00AE479E" w:rsidRDefault="00510FEE" w:rsidP="00510FEE">
      <w:pPr>
        <w:rPr>
          <w:rFonts w:ascii="Arial" w:hAnsi="Arial" w:cs="Arial"/>
          <w:b/>
          <w:sz w:val="20"/>
          <w:szCs w:val="20"/>
        </w:rPr>
      </w:pPr>
    </w:p>
    <w:p w:rsidR="00510FEE" w:rsidRPr="00AE479E" w:rsidRDefault="00510FEE" w:rsidP="00510FEE">
      <w:pPr>
        <w:rPr>
          <w:rFonts w:ascii="Arial" w:hAnsi="Arial" w:cs="Arial"/>
          <w:sz w:val="20"/>
          <w:szCs w:val="20"/>
        </w:rPr>
      </w:pPr>
      <w:r w:rsidRPr="00AE479E">
        <w:rPr>
          <w:rFonts w:ascii="Arial" w:hAnsi="Arial" w:cs="Arial"/>
          <w:b/>
          <w:sz w:val="20"/>
          <w:szCs w:val="20"/>
        </w:rPr>
        <w:t xml:space="preserve">Background     </w:t>
      </w:r>
      <w:r w:rsidRPr="00AE479E">
        <w:rPr>
          <w:rFonts w:ascii="Arial" w:hAnsi="Arial" w:cs="Arial"/>
          <w:sz w:val="20"/>
          <w:szCs w:val="20"/>
        </w:rPr>
        <w:t xml:space="preserve">Skeletal muscle relaxants </w:t>
      </w:r>
      <w:r>
        <w:rPr>
          <w:rFonts w:ascii="Arial" w:hAnsi="Arial" w:cs="Arial"/>
          <w:sz w:val="20"/>
          <w:szCs w:val="20"/>
        </w:rPr>
        <w:t xml:space="preserve">(SMRs) </w:t>
      </w:r>
      <w:r w:rsidRPr="00AE479E">
        <w:rPr>
          <w:rFonts w:ascii="Arial" w:hAnsi="Arial" w:cs="Arial"/>
          <w:sz w:val="20"/>
          <w:szCs w:val="20"/>
        </w:rPr>
        <w:t xml:space="preserve">are a heterogeneous </w:t>
      </w:r>
      <w:r w:rsidR="008C01E3">
        <w:rPr>
          <w:rFonts w:ascii="Arial" w:hAnsi="Arial" w:cs="Arial"/>
          <w:sz w:val="20"/>
          <w:szCs w:val="20"/>
        </w:rPr>
        <w:t>class of medications</w:t>
      </w:r>
      <w:r w:rsidRPr="00AE479E">
        <w:rPr>
          <w:rFonts w:ascii="Arial" w:hAnsi="Arial" w:cs="Arial"/>
          <w:sz w:val="20"/>
          <w:szCs w:val="20"/>
        </w:rPr>
        <w:t xml:space="preserve"> used for the management of spasticity</w:t>
      </w:r>
      <w:r>
        <w:rPr>
          <w:rFonts w:ascii="Arial" w:hAnsi="Arial" w:cs="Arial"/>
          <w:sz w:val="20"/>
          <w:szCs w:val="20"/>
        </w:rPr>
        <w:t xml:space="preserve"> or muscle spasms</w:t>
      </w:r>
      <w:r w:rsidRPr="00AE479E">
        <w:rPr>
          <w:rFonts w:ascii="Arial" w:hAnsi="Arial" w:cs="Arial"/>
          <w:sz w:val="20"/>
          <w:szCs w:val="20"/>
        </w:rPr>
        <w:t xml:space="preserve">. This </w:t>
      </w:r>
      <w:r w:rsidRPr="00AE479E">
        <w:rPr>
          <w:rFonts w:ascii="Arial" w:hAnsi="Arial" w:cs="Arial"/>
          <w:i/>
          <w:sz w:val="20"/>
          <w:szCs w:val="20"/>
        </w:rPr>
        <w:t>Fast Fact</w:t>
      </w:r>
      <w:r w:rsidRPr="00AE479E">
        <w:rPr>
          <w:rFonts w:ascii="Arial" w:hAnsi="Arial" w:cs="Arial"/>
          <w:sz w:val="20"/>
          <w:szCs w:val="20"/>
        </w:rPr>
        <w:t xml:space="preserve"> reviews the</w:t>
      </w:r>
      <w:r>
        <w:rPr>
          <w:rFonts w:ascii="Arial" w:hAnsi="Arial" w:cs="Arial"/>
          <w:sz w:val="20"/>
          <w:szCs w:val="20"/>
        </w:rPr>
        <w:t>ir</w:t>
      </w:r>
      <w:r w:rsidRPr="00AE479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AE479E">
        <w:rPr>
          <w:rFonts w:ascii="Arial" w:hAnsi="Arial" w:cs="Arial"/>
          <w:sz w:val="20"/>
          <w:szCs w:val="20"/>
        </w:rPr>
        <w:t xml:space="preserve">role in </w:t>
      </w:r>
      <w:r>
        <w:rPr>
          <w:rFonts w:ascii="Arial" w:hAnsi="Arial" w:cs="Arial"/>
          <w:sz w:val="20"/>
          <w:szCs w:val="20"/>
        </w:rPr>
        <w:t>palliative care</w:t>
      </w:r>
      <w:r w:rsidRPr="00AE479E">
        <w:rPr>
          <w:rFonts w:ascii="Arial" w:hAnsi="Arial" w:cs="Arial"/>
          <w:sz w:val="20"/>
          <w:szCs w:val="20"/>
        </w:rPr>
        <w:t xml:space="preserve">. </w:t>
      </w:r>
    </w:p>
    <w:p w:rsidR="00510FEE" w:rsidRDefault="00510FEE" w:rsidP="00510FEE">
      <w:pPr>
        <w:rPr>
          <w:rFonts w:ascii="Arial" w:hAnsi="Arial" w:cs="Arial"/>
          <w:b/>
          <w:sz w:val="20"/>
          <w:szCs w:val="20"/>
        </w:rPr>
      </w:pPr>
    </w:p>
    <w:p w:rsidR="00510FEE" w:rsidRDefault="00510FEE" w:rsidP="00510FEE">
      <w:pPr>
        <w:rPr>
          <w:rFonts w:ascii="Arial" w:hAnsi="Arial" w:cs="Arial"/>
          <w:sz w:val="20"/>
          <w:szCs w:val="20"/>
        </w:rPr>
      </w:pPr>
      <w:r w:rsidRPr="00AE479E">
        <w:rPr>
          <w:rFonts w:ascii="Arial" w:hAnsi="Arial" w:cs="Arial"/>
          <w:b/>
          <w:sz w:val="20"/>
          <w:szCs w:val="20"/>
        </w:rPr>
        <w:t xml:space="preserve">Pharmacology    </w:t>
      </w:r>
      <w:r>
        <w:rPr>
          <w:rFonts w:ascii="Arial" w:hAnsi="Arial" w:cs="Arial"/>
          <w:sz w:val="20"/>
          <w:szCs w:val="20"/>
        </w:rPr>
        <w:t>SMRs</w:t>
      </w:r>
      <w:r w:rsidRPr="005D5247">
        <w:rPr>
          <w:rFonts w:ascii="Arial" w:hAnsi="Arial" w:cs="Arial"/>
          <w:sz w:val="20"/>
          <w:szCs w:val="20"/>
        </w:rPr>
        <w:t xml:space="preserve"> are </w:t>
      </w:r>
      <w:r>
        <w:rPr>
          <w:rFonts w:ascii="Arial" w:hAnsi="Arial" w:cs="Arial"/>
          <w:sz w:val="20"/>
          <w:szCs w:val="20"/>
        </w:rPr>
        <w:t xml:space="preserve">known </w:t>
      </w:r>
      <w:r w:rsidRPr="005D5247">
        <w:rPr>
          <w:rFonts w:ascii="Arial" w:hAnsi="Arial" w:cs="Arial"/>
          <w:sz w:val="20"/>
          <w:szCs w:val="20"/>
        </w:rPr>
        <w:t>CNS depressants</w:t>
      </w:r>
      <w:r>
        <w:rPr>
          <w:rFonts w:ascii="Arial" w:hAnsi="Arial" w:cs="Arial"/>
          <w:sz w:val="20"/>
          <w:szCs w:val="20"/>
        </w:rPr>
        <w:t xml:space="preserve">.  </w:t>
      </w:r>
      <w:r w:rsidRPr="00AE479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Dizziness, drowsiness, confusion, and an increased risk of injury are consistently reported adverse effects, especially in ages ≥ 65 (1-3).  </w:t>
      </w:r>
      <w:r w:rsidRPr="005D5247">
        <w:rPr>
          <w:rFonts w:ascii="Arial" w:hAnsi="Arial" w:cs="Arial"/>
          <w:sz w:val="20"/>
          <w:szCs w:val="20"/>
        </w:rPr>
        <w:t xml:space="preserve">Most </w:t>
      </w:r>
      <w:r>
        <w:rPr>
          <w:rFonts w:ascii="Arial" w:hAnsi="Arial" w:cs="Arial"/>
          <w:sz w:val="20"/>
          <w:szCs w:val="20"/>
        </w:rPr>
        <w:t xml:space="preserve">SMRs </w:t>
      </w:r>
      <w:r w:rsidRPr="005D5247">
        <w:rPr>
          <w:rFonts w:ascii="Arial" w:hAnsi="Arial" w:cs="Arial"/>
          <w:sz w:val="20"/>
          <w:szCs w:val="20"/>
        </w:rPr>
        <w:t>are predominantly metabolized by the liver, except for baclofe</w:t>
      </w:r>
      <w:r>
        <w:rPr>
          <w:rFonts w:ascii="Arial" w:hAnsi="Arial" w:cs="Arial"/>
          <w:sz w:val="20"/>
          <w:szCs w:val="20"/>
        </w:rPr>
        <w:t xml:space="preserve">n (only 15% hepatic metabolism).  Therefore, SMRs require extra </w:t>
      </w:r>
      <w:r w:rsidRPr="005D5247">
        <w:rPr>
          <w:rFonts w:ascii="Arial" w:hAnsi="Arial" w:cs="Arial"/>
          <w:sz w:val="20"/>
          <w:szCs w:val="20"/>
        </w:rPr>
        <w:t>caution</w:t>
      </w:r>
      <w:r>
        <w:rPr>
          <w:rFonts w:ascii="Arial" w:hAnsi="Arial" w:cs="Arial"/>
          <w:sz w:val="20"/>
          <w:szCs w:val="20"/>
        </w:rPr>
        <w:t xml:space="preserve"> and dose reduction</w:t>
      </w:r>
      <w:r w:rsidRPr="005D5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</w:t>
      </w:r>
      <w:r w:rsidRPr="005D5247">
        <w:rPr>
          <w:rFonts w:ascii="Arial" w:hAnsi="Arial" w:cs="Arial"/>
          <w:sz w:val="20"/>
          <w:szCs w:val="20"/>
        </w:rPr>
        <w:t xml:space="preserve">patients with </w:t>
      </w:r>
      <w:r>
        <w:rPr>
          <w:rFonts w:ascii="Arial" w:hAnsi="Arial" w:cs="Arial"/>
          <w:sz w:val="20"/>
          <w:szCs w:val="20"/>
        </w:rPr>
        <w:t>cirrhosis (4</w:t>
      </w:r>
      <w:r w:rsidRPr="005D5247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10FEE" w:rsidRDefault="00510FEE" w:rsidP="00510FEE">
      <w:pPr>
        <w:rPr>
          <w:rFonts w:ascii="Arial" w:hAnsi="Arial" w:cs="Arial"/>
          <w:sz w:val="20"/>
          <w:szCs w:val="20"/>
        </w:rPr>
      </w:pPr>
    </w:p>
    <w:p w:rsidR="00510FEE" w:rsidRDefault="00510FEE" w:rsidP="00510FEE">
      <w:pPr>
        <w:rPr>
          <w:rFonts w:ascii="Arial" w:hAnsi="Arial" w:cs="Arial"/>
          <w:sz w:val="20"/>
          <w:szCs w:val="20"/>
        </w:rPr>
      </w:pPr>
      <w:r w:rsidRPr="00F4024B">
        <w:rPr>
          <w:rFonts w:ascii="Arial" w:hAnsi="Arial" w:cs="Arial"/>
          <w:b/>
          <w:sz w:val="20"/>
          <w:szCs w:val="20"/>
        </w:rPr>
        <w:t>Mechanism of Action</w:t>
      </w:r>
      <w:r>
        <w:rPr>
          <w:rFonts w:ascii="Arial" w:hAnsi="Arial" w:cs="Arial"/>
          <w:sz w:val="20"/>
          <w:szCs w:val="20"/>
        </w:rPr>
        <w:t xml:space="preserve">   Though</w:t>
      </w:r>
      <w:r w:rsidRPr="005D5247">
        <w:rPr>
          <w:rFonts w:ascii="Arial" w:hAnsi="Arial" w:cs="Arial"/>
          <w:sz w:val="20"/>
          <w:szCs w:val="20"/>
        </w:rPr>
        <w:t xml:space="preserve"> their </w:t>
      </w:r>
      <w:r>
        <w:rPr>
          <w:rFonts w:ascii="Arial" w:hAnsi="Arial" w:cs="Arial"/>
          <w:sz w:val="20"/>
          <w:szCs w:val="20"/>
        </w:rPr>
        <w:t xml:space="preserve">mechanism of </w:t>
      </w:r>
      <w:r w:rsidRPr="005D5247">
        <w:rPr>
          <w:rFonts w:ascii="Arial" w:hAnsi="Arial" w:cs="Arial"/>
          <w:sz w:val="20"/>
          <w:szCs w:val="20"/>
        </w:rPr>
        <w:t xml:space="preserve">action </w:t>
      </w:r>
      <w:r>
        <w:rPr>
          <w:rFonts w:ascii="Arial" w:hAnsi="Arial" w:cs="Arial"/>
          <w:sz w:val="20"/>
          <w:szCs w:val="20"/>
        </w:rPr>
        <w:t xml:space="preserve">is largely unknown, </w:t>
      </w:r>
      <w:r w:rsidRPr="005D5247"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z w:val="20"/>
          <w:szCs w:val="20"/>
        </w:rPr>
        <w:t>n</w:t>
      </w:r>
      <w:r w:rsidRPr="005D5247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experts believe it largely stems from</w:t>
      </w:r>
      <w:r w:rsidRPr="005D5247">
        <w:rPr>
          <w:rFonts w:ascii="Arial" w:hAnsi="Arial" w:cs="Arial"/>
          <w:sz w:val="20"/>
          <w:szCs w:val="20"/>
        </w:rPr>
        <w:t xml:space="preserve"> their sedative effects. </w:t>
      </w:r>
      <w:r>
        <w:rPr>
          <w:rFonts w:ascii="Arial" w:hAnsi="Arial" w:cs="Arial"/>
          <w:sz w:val="20"/>
          <w:szCs w:val="20"/>
        </w:rPr>
        <w:t>There are two general types of muscle relaxants:</w:t>
      </w:r>
      <w:r w:rsidRPr="00A60804">
        <w:rPr>
          <w:rFonts w:ascii="Arial" w:hAnsi="Arial" w:cs="Arial"/>
          <w:sz w:val="20"/>
          <w:szCs w:val="20"/>
        </w:rPr>
        <w:t xml:space="preserve">  </w:t>
      </w:r>
    </w:p>
    <w:p w:rsidR="00510FEE" w:rsidRDefault="00510FEE" w:rsidP="00510FE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787D">
        <w:rPr>
          <w:rFonts w:ascii="Arial" w:hAnsi="Arial" w:cs="Arial"/>
          <w:sz w:val="20"/>
          <w:szCs w:val="20"/>
          <w:u w:val="single"/>
        </w:rPr>
        <w:t>Antispasticity agents</w:t>
      </w:r>
      <w:r>
        <w:rPr>
          <w:rFonts w:ascii="Arial" w:hAnsi="Arial" w:cs="Arial"/>
          <w:sz w:val="20"/>
          <w:szCs w:val="20"/>
        </w:rPr>
        <w:t>:</w:t>
      </w:r>
      <w:r w:rsidRPr="005D5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these aim</w:t>
      </w:r>
      <w:r w:rsidRPr="005D5247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reduce</w:t>
      </w:r>
      <w:r w:rsidRPr="005D5247">
        <w:rPr>
          <w:rFonts w:ascii="Arial" w:hAnsi="Arial" w:cs="Arial"/>
          <w:sz w:val="20"/>
          <w:szCs w:val="20"/>
        </w:rPr>
        <w:t xml:space="preserve"> muscle hypertonicity and involuntary jerks associated with neurological disorders like multiple sclerosis </w:t>
      </w:r>
      <w:r>
        <w:rPr>
          <w:rFonts w:ascii="Arial" w:hAnsi="Arial" w:cs="Arial"/>
          <w:sz w:val="20"/>
          <w:szCs w:val="20"/>
        </w:rPr>
        <w:t xml:space="preserve">(MS) or cerebral palsy (CP).  Baclofen is the most commonly prescribed agent in this class (4).  </w:t>
      </w:r>
    </w:p>
    <w:p w:rsidR="00510FEE" w:rsidRDefault="00510FEE" w:rsidP="00510FE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787D">
        <w:rPr>
          <w:rFonts w:ascii="Arial" w:hAnsi="Arial" w:cs="Arial"/>
          <w:sz w:val="20"/>
          <w:szCs w:val="20"/>
          <w:u w:val="single"/>
        </w:rPr>
        <w:t>Antispasmodic agents</w:t>
      </w:r>
      <w:r>
        <w:rPr>
          <w:rFonts w:ascii="Arial" w:hAnsi="Arial" w:cs="Arial"/>
          <w:sz w:val="20"/>
          <w:szCs w:val="20"/>
        </w:rPr>
        <w:t>: these aim</w:t>
      </w:r>
      <w:r w:rsidRPr="005D5247">
        <w:rPr>
          <w:rFonts w:ascii="Arial" w:hAnsi="Arial" w:cs="Arial"/>
          <w:sz w:val="20"/>
          <w:szCs w:val="20"/>
        </w:rPr>
        <w:t xml:space="preserve"> to treat </w:t>
      </w:r>
      <w:r>
        <w:rPr>
          <w:rFonts w:ascii="Arial" w:hAnsi="Arial" w:cs="Arial"/>
          <w:sz w:val="20"/>
          <w:szCs w:val="20"/>
        </w:rPr>
        <w:t xml:space="preserve">striated muscle spasms from </w:t>
      </w:r>
      <w:r w:rsidRPr="005D5247">
        <w:rPr>
          <w:rFonts w:ascii="Arial" w:hAnsi="Arial" w:cs="Arial"/>
          <w:sz w:val="20"/>
          <w:szCs w:val="20"/>
        </w:rPr>
        <w:t xml:space="preserve">peripheral </w:t>
      </w:r>
      <w:r>
        <w:rPr>
          <w:rFonts w:ascii="Arial" w:hAnsi="Arial" w:cs="Arial"/>
          <w:sz w:val="20"/>
          <w:szCs w:val="20"/>
        </w:rPr>
        <w:t>musculoskeletal conditions like low back pain (4</w:t>
      </w:r>
      <w:r w:rsidRPr="005D5247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>C</w:t>
      </w:r>
      <w:r w:rsidRPr="005D5247">
        <w:rPr>
          <w:rFonts w:ascii="Arial" w:hAnsi="Arial" w:cs="Arial"/>
          <w:sz w:val="20"/>
          <w:szCs w:val="20"/>
        </w:rPr>
        <w:t>yclobenzaprine</w:t>
      </w:r>
      <w:r>
        <w:rPr>
          <w:rFonts w:ascii="Arial" w:hAnsi="Arial" w:cs="Arial"/>
          <w:sz w:val="20"/>
          <w:szCs w:val="20"/>
        </w:rPr>
        <w:t xml:space="preserve"> and </w:t>
      </w:r>
      <w:r w:rsidRPr="005D5247">
        <w:rPr>
          <w:rFonts w:ascii="Arial" w:hAnsi="Arial" w:cs="Arial"/>
          <w:sz w:val="20"/>
          <w:szCs w:val="20"/>
        </w:rPr>
        <w:t>methocarbamol</w:t>
      </w:r>
      <w:r>
        <w:rPr>
          <w:rFonts w:ascii="Arial" w:hAnsi="Arial" w:cs="Arial"/>
          <w:sz w:val="20"/>
          <w:szCs w:val="20"/>
        </w:rPr>
        <w:t xml:space="preserve"> are examples</w:t>
      </w:r>
      <w:r w:rsidRPr="005D5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(4</w:t>
      </w:r>
      <w:r w:rsidRPr="005D5247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 xml:space="preserve">Most experts recommend limiting their use to 2-4 weeks because of the associated CNS risks. </w:t>
      </w:r>
    </w:p>
    <w:p w:rsidR="00510FEE" w:rsidRPr="00510FEE" w:rsidRDefault="00510FEE" w:rsidP="00510FEE">
      <w:pPr>
        <w:rPr>
          <w:rFonts w:ascii="Arial" w:hAnsi="Arial" w:cs="Arial"/>
          <w:sz w:val="20"/>
          <w:szCs w:val="20"/>
        </w:rPr>
      </w:pPr>
    </w:p>
    <w:p w:rsidR="00510FEE" w:rsidRDefault="00510FEE" w:rsidP="00510FEE">
      <w:pPr>
        <w:rPr>
          <w:rFonts w:ascii="Arial" w:hAnsi="Arial" w:cs="Arial"/>
          <w:sz w:val="20"/>
          <w:szCs w:val="20"/>
        </w:rPr>
      </w:pPr>
      <w:r w:rsidRPr="00AE479E">
        <w:rPr>
          <w:rFonts w:ascii="Arial" w:hAnsi="Arial" w:cs="Arial"/>
          <w:b/>
          <w:sz w:val="20"/>
          <w:szCs w:val="20"/>
        </w:rPr>
        <w:t xml:space="preserve">Clinical Evidence    </w:t>
      </w:r>
      <w:r w:rsidRPr="00AE4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most compelling evidence for muscle relaxants is for MS (5).  </w:t>
      </w:r>
      <w:r w:rsidRPr="00AE479E">
        <w:rPr>
          <w:rFonts w:ascii="Arial" w:hAnsi="Arial" w:cs="Arial"/>
          <w:sz w:val="20"/>
          <w:szCs w:val="20"/>
        </w:rPr>
        <w:t xml:space="preserve">Placebo-controlled trials have shown a </w:t>
      </w:r>
      <w:r>
        <w:rPr>
          <w:rFonts w:ascii="Arial" w:hAnsi="Arial" w:cs="Arial"/>
          <w:sz w:val="20"/>
          <w:szCs w:val="20"/>
        </w:rPr>
        <w:t xml:space="preserve">similar reduction in </w:t>
      </w:r>
      <w:r w:rsidRPr="00AE479E">
        <w:rPr>
          <w:rFonts w:ascii="Arial" w:hAnsi="Arial" w:cs="Arial"/>
          <w:sz w:val="20"/>
          <w:szCs w:val="20"/>
        </w:rPr>
        <w:t xml:space="preserve">daily </w:t>
      </w:r>
      <w:r>
        <w:rPr>
          <w:rFonts w:ascii="Arial" w:hAnsi="Arial" w:cs="Arial"/>
          <w:sz w:val="20"/>
          <w:szCs w:val="20"/>
        </w:rPr>
        <w:t xml:space="preserve">muscle </w:t>
      </w:r>
      <w:r w:rsidRPr="00AE479E">
        <w:rPr>
          <w:rFonts w:ascii="Arial" w:hAnsi="Arial" w:cs="Arial"/>
          <w:sz w:val="20"/>
          <w:szCs w:val="20"/>
        </w:rPr>
        <w:t>spasms and clo</w:t>
      </w:r>
      <w:r>
        <w:rPr>
          <w:rFonts w:ascii="Arial" w:hAnsi="Arial" w:cs="Arial"/>
          <w:sz w:val="20"/>
          <w:szCs w:val="20"/>
        </w:rPr>
        <w:t>nus</w:t>
      </w:r>
      <w:r w:rsidRPr="00AE479E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 xml:space="preserve">MS </w:t>
      </w:r>
      <w:r w:rsidRPr="00AE479E">
        <w:rPr>
          <w:rFonts w:ascii="Arial" w:hAnsi="Arial" w:cs="Arial"/>
          <w:sz w:val="20"/>
          <w:szCs w:val="20"/>
        </w:rPr>
        <w:t>patients receiving baclofen or tizanidine (</w:t>
      </w:r>
      <w:r>
        <w:rPr>
          <w:rFonts w:ascii="Arial" w:hAnsi="Arial" w:cs="Arial"/>
          <w:sz w:val="20"/>
          <w:szCs w:val="20"/>
        </w:rPr>
        <w:t>6-8</w:t>
      </w:r>
      <w:r w:rsidRPr="00AE479E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To date, no head to head trials have adequately compared their effectiveness in controlling MS-related muscle spasms with botulinum injections.  For other conditions:</w:t>
      </w:r>
    </w:p>
    <w:p w:rsidR="00510FEE" w:rsidRPr="00514C15" w:rsidRDefault="00510FEE" w:rsidP="00510FE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There</w:t>
      </w:r>
      <w:r w:rsidRPr="00514C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no published evidence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firmly establishing</w:t>
      </w:r>
      <w:r w:rsidRPr="00514C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 efficacy or safety of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SMRs</w:t>
      </w:r>
      <w:r w:rsidRPr="00514C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compared with opioids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acetaminophen, or NSAIDs. It is also unknown</w:t>
      </w:r>
      <w:r w:rsidRPr="00514C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if</w:t>
      </w:r>
      <w:r w:rsidRPr="00514C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SMRs</w:t>
      </w:r>
      <w:r w:rsidRPr="00514C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have an opioid-sparing effect.  </w:t>
      </w:r>
    </w:p>
    <w:p w:rsidR="00510FEE" w:rsidRPr="00973C23" w:rsidRDefault="00510FEE" w:rsidP="00510FE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 acute back pain, carisoprodol, cyclobenzaprine, and tizanidine have been shown to be moderately effective for short term relief (2 weeks) compared with placebo (1,5).</w:t>
      </w:r>
    </w:p>
    <w:p w:rsidR="00510FEE" w:rsidRDefault="00510FEE" w:rsidP="00510FE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For musculoskeletal back pain lasting &gt; 2 weeks, a</w:t>
      </w:r>
      <w:r w:rsidRPr="00514C15">
        <w:rPr>
          <w:rFonts w:ascii="Arial" w:hAnsi="Arial" w:cs="Arial"/>
          <w:sz w:val="20"/>
          <w:szCs w:val="20"/>
        </w:rPr>
        <w:t xml:space="preserve"> 2003 </w:t>
      </w:r>
      <w:r w:rsidRPr="00514C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systematic review of placebo controlled trials found insufficient evidence to support skeletal muscle relaxants as effective agents (6). </w:t>
      </w:r>
    </w:p>
    <w:p w:rsidR="00510FEE" w:rsidRPr="00514C15" w:rsidRDefault="00510FEE" w:rsidP="00510FE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14C15">
        <w:rPr>
          <w:rFonts w:ascii="Arial" w:hAnsi="Arial" w:cs="Arial"/>
          <w:sz w:val="20"/>
          <w:szCs w:val="20"/>
        </w:rPr>
        <w:t xml:space="preserve">There is no compelling evidence that one skeletal muscle relaxant is more effective than another. </w:t>
      </w:r>
    </w:p>
    <w:p w:rsidR="00510FEE" w:rsidRPr="00514C15" w:rsidRDefault="00510FEE" w:rsidP="00510FE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For cancer patients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FFFFF"/>
        </w:rPr>
        <w:t>use of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 xml:space="preserve"> baclofen and </w:t>
      </w:r>
      <w:r>
        <w:rPr>
          <w:rFonts w:ascii="Arial" w:hAnsi="Arial" w:cs="Arial"/>
          <w:sz w:val="20"/>
          <w:szCs w:val="20"/>
          <w:shd w:val="clear" w:color="auto" w:fill="FFFFFF"/>
        </w:rPr>
        <w:t>diazepam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has been described as 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>adjuvant</w:t>
      </w:r>
      <w:r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for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cancer-related spasticity or muscle spasms, although controlled 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>evidence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supporting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 xml:space="preserve"> such </w:t>
      </w:r>
      <w:r>
        <w:rPr>
          <w:rFonts w:ascii="Arial" w:hAnsi="Arial" w:cs="Arial"/>
          <w:sz w:val="20"/>
          <w:szCs w:val="20"/>
          <w:shd w:val="clear" w:color="auto" w:fill="FFFFFF"/>
        </w:rPr>
        <w:t>use is lacking (9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510FEE" w:rsidRDefault="00510FEE" w:rsidP="00510FEE">
      <w:pPr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</w:rPr>
      </w:pPr>
    </w:p>
    <w:p w:rsidR="00510FEE" w:rsidRDefault="00510FEE" w:rsidP="00510F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Patient Selection   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 xml:space="preserve">When assessing patients,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first 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 xml:space="preserve">determine whether you are treating spasticity or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peripheral 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 xml:space="preserve">muscle spasm. Spasticity is a state of increased muscular tone with exaggeration of tendon reflexes </w:t>
      </w:r>
      <w:r>
        <w:rPr>
          <w:rFonts w:ascii="Arial" w:hAnsi="Arial" w:cs="Arial"/>
          <w:sz w:val="20"/>
          <w:szCs w:val="20"/>
          <w:shd w:val="clear" w:color="auto" w:fill="FFFFFF"/>
        </w:rPr>
        <w:t>most commonly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 xml:space="preserve"> associated with conditions like </w:t>
      </w:r>
      <w:r>
        <w:rPr>
          <w:rFonts w:ascii="Arial" w:hAnsi="Arial" w:cs="Arial"/>
          <w:sz w:val="20"/>
          <w:szCs w:val="20"/>
          <w:shd w:val="clear" w:color="auto" w:fill="FFFFFF"/>
        </w:rPr>
        <w:t>MS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 xml:space="preserve">, traumatic brain injury, and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CP (2,4).  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>In contrast, muscle spasm is a sudden involuntary contraction of one or more muscle groups and is typically 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ssociated with a muscle strain, 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>fibromyalgia</w:t>
      </w:r>
      <w:r>
        <w:rPr>
          <w:rFonts w:ascii="Arial" w:hAnsi="Arial" w:cs="Arial"/>
          <w:sz w:val="20"/>
          <w:szCs w:val="20"/>
          <w:shd w:val="clear" w:color="auto" w:fill="FFFFFF"/>
        </w:rPr>
        <w:t>, or mechanical low back pain (2,4</w:t>
      </w:r>
      <w:r w:rsidRPr="00A60804">
        <w:rPr>
          <w:rFonts w:ascii="Arial" w:hAnsi="Arial" w:cs="Arial"/>
          <w:sz w:val="20"/>
          <w:szCs w:val="20"/>
          <w:shd w:val="clear" w:color="auto" w:fill="FFFFFF"/>
        </w:rPr>
        <w:t xml:space="preserve">). </w:t>
      </w:r>
      <w:r>
        <w:rPr>
          <w:rFonts w:ascii="Arial" w:hAnsi="Arial" w:cs="Arial"/>
          <w:sz w:val="20"/>
          <w:szCs w:val="20"/>
          <w:shd w:val="clear" w:color="auto" w:fill="FFFFFF"/>
        </w:rPr>
        <w:t>Avoid muscle relaxants in elderly patients or patients with preexisting cognitive impairment who may be at high risk for delirium.</w:t>
      </w:r>
      <w:r>
        <w:rPr>
          <w:rFonts w:ascii="Arial" w:hAnsi="Arial" w:cs="Arial"/>
          <w:sz w:val="20"/>
          <w:szCs w:val="20"/>
        </w:rPr>
        <w:t xml:space="preserve">  For patients &lt;65 with insomnia related to muscle spasms, cyclobenzaprine, tizanidine, and diazepam are the most sedating SMRs while methocarbamol and metaxalone are least sedating.</w:t>
      </w:r>
    </w:p>
    <w:p w:rsidR="00510FEE" w:rsidRDefault="00510FEE" w:rsidP="00510FEE">
      <w:pPr>
        <w:rPr>
          <w:rFonts w:ascii="Arial" w:hAnsi="Arial" w:cs="Arial"/>
          <w:b/>
          <w:sz w:val="20"/>
          <w:szCs w:val="20"/>
        </w:rPr>
      </w:pPr>
    </w:p>
    <w:p w:rsidR="00510FEE" w:rsidRPr="0055787D" w:rsidRDefault="00510FEE" w:rsidP="00510FEE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 xml:space="preserve">Pediatric Use:  </w:t>
      </w:r>
      <w:r w:rsidRPr="005F1EC9">
        <w:rPr>
          <w:rFonts w:ascii="Arial" w:hAnsi="Arial" w:cs="Arial"/>
          <w:sz w:val="20"/>
          <w:szCs w:val="20"/>
        </w:rPr>
        <w:t xml:space="preserve">Although mostly off-label, SMRs are commonly prescribed as anti-spasticity agents for children with hypertonicity from conditions such as CP. Baclofen </w:t>
      </w:r>
      <w:r>
        <w:rPr>
          <w:rFonts w:ascii="Arial" w:hAnsi="Arial" w:cs="Arial"/>
          <w:sz w:val="20"/>
          <w:szCs w:val="20"/>
        </w:rPr>
        <w:t xml:space="preserve">has </w:t>
      </w:r>
      <w:r w:rsidRPr="005F1EC9">
        <w:rPr>
          <w:rFonts w:ascii="Arial" w:hAnsi="Arial" w:cs="Arial"/>
          <w:sz w:val="20"/>
          <w:szCs w:val="20"/>
        </w:rPr>
        <w:t xml:space="preserve">the most established pediatric dosing: start </w:t>
      </w:r>
      <w:r>
        <w:rPr>
          <w:rFonts w:ascii="Arial" w:hAnsi="Arial" w:cs="Arial"/>
          <w:sz w:val="20"/>
          <w:szCs w:val="20"/>
        </w:rPr>
        <w:t>5 mg BID or TID</w:t>
      </w:r>
      <w:r w:rsidRPr="005F1EC9">
        <w:rPr>
          <w:rFonts w:ascii="Arial" w:hAnsi="Arial" w:cs="Arial"/>
          <w:sz w:val="20"/>
          <w:szCs w:val="20"/>
        </w:rPr>
        <w:t>; max daily dose is 40 mg in ages 2-7 and 60 mg for ages 8-17.</w:t>
      </w:r>
      <w:r>
        <w:rPr>
          <w:rFonts w:ascii="Arial" w:hAnsi="Arial" w:cs="Arial"/>
          <w:sz w:val="20"/>
          <w:szCs w:val="20"/>
        </w:rPr>
        <w:t xml:space="preserve"> Caution in children with seizure disorders as </w:t>
      </w:r>
      <w:r w:rsidRPr="005F1EC9">
        <w:rPr>
          <w:rFonts w:ascii="Arial" w:hAnsi="Arial" w:cs="Arial"/>
          <w:sz w:val="20"/>
          <w:szCs w:val="20"/>
        </w:rPr>
        <w:t>baclofen can lower the seizure threshold.</w:t>
      </w:r>
    </w:p>
    <w:p w:rsidR="008C01E3" w:rsidRDefault="008C01E3" w:rsidP="00510FEE">
      <w:pPr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510FEE" w:rsidRPr="003616F4" w:rsidRDefault="00510FEE" w:rsidP="00510FEE">
      <w:pPr>
        <w:rPr>
          <w:rFonts w:ascii="Arial" w:hAnsi="Arial" w:cs="Arial"/>
          <w:i/>
          <w:color w:val="4F81BD" w:themeColor="accent1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Cost   </w:t>
      </w:r>
      <w:r>
        <w:rPr>
          <w:rFonts w:ascii="Arial" w:hAnsi="Arial" w:cs="Arial"/>
          <w:sz w:val="20"/>
          <w:szCs w:val="20"/>
        </w:rPr>
        <w:t>As a class, skeletal muscle relaxants are fairly affordable.  Diazepam is the least expensive with a usual cost of $0.22/tablet; tizanidine is the most expensive at about $1.22/tablet.  For comparison, immediate release morphine sulfate is usually about $0.43/tablet.</w:t>
      </w:r>
    </w:p>
    <w:p w:rsidR="00510FEE" w:rsidRDefault="00510FEE" w:rsidP="00510FEE">
      <w:pPr>
        <w:rPr>
          <w:rFonts w:ascii="Arial" w:hAnsi="Arial" w:cs="Arial"/>
          <w:b/>
          <w:sz w:val="20"/>
          <w:szCs w:val="20"/>
        </w:rPr>
      </w:pPr>
    </w:p>
    <w:p w:rsidR="00510FEE" w:rsidRDefault="00510FEE" w:rsidP="00510FEE">
      <w:pPr>
        <w:rPr>
          <w:rFonts w:ascii="Arial" w:hAnsi="Arial" w:cs="Arial"/>
          <w:sz w:val="20"/>
          <w:szCs w:val="20"/>
        </w:rPr>
      </w:pPr>
      <w:r w:rsidRPr="00AE479E">
        <w:rPr>
          <w:rFonts w:ascii="Arial" w:hAnsi="Arial" w:cs="Arial"/>
          <w:b/>
          <w:sz w:val="20"/>
          <w:szCs w:val="20"/>
        </w:rPr>
        <w:t xml:space="preserve">Summary     </w:t>
      </w:r>
      <w:r>
        <w:rPr>
          <w:rFonts w:ascii="Arial" w:hAnsi="Arial" w:cs="Arial"/>
          <w:sz w:val="20"/>
          <w:szCs w:val="20"/>
        </w:rPr>
        <w:t xml:space="preserve">Outside their role as anti-spasticity agents, the risks of adverse effects from SMRs is high and may outweigh benefits. When prescribed as anti-spasmodic agents for common conditions such as low back pain or fibromyalgia, SMRs should be limited to short term use (e.g. 2-4 weeks), with a prescription only being renewed after an in-person reassessment.  </w:t>
      </w:r>
      <w:r w:rsidRPr="00AE479E">
        <w:rPr>
          <w:rFonts w:ascii="Arial" w:hAnsi="Arial" w:cs="Arial"/>
          <w:sz w:val="20"/>
          <w:szCs w:val="20"/>
        </w:rPr>
        <w:t xml:space="preserve">The choice of a </w:t>
      </w:r>
      <w:r>
        <w:rPr>
          <w:rFonts w:ascii="Arial" w:hAnsi="Arial" w:cs="Arial"/>
          <w:sz w:val="20"/>
          <w:szCs w:val="20"/>
        </w:rPr>
        <w:t xml:space="preserve">SMR </w:t>
      </w:r>
      <w:r w:rsidRPr="00AE479E">
        <w:rPr>
          <w:rFonts w:ascii="Arial" w:hAnsi="Arial" w:cs="Arial"/>
          <w:sz w:val="20"/>
          <w:szCs w:val="20"/>
        </w:rPr>
        <w:t>should be based on its adverse-effect profile</w:t>
      </w:r>
      <w:r>
        <w:rPr>
          <w:rFonts w:ascii="Arial" w:hAnsi="Arial" w:cs="Arial"/>
          <w:sz w:val="20"/>
          <w:szCs w:val="20"/>
        </w:rPr>
        <w:t xml:space="preserve"> and</w:t>
      </w:r>
      <w:r w:rsidRPr="00AE479E">
        <w:rPr>
          <w:rFonts w:ascii="Arial" w:hAnsi="Arial" w:cs="Arial"/>
          <w:sz w:val="20"/>
          <w:szCs w:val="20"/>
        </w:rPr>
        <w:t xml:space="preserve"> tolerability</w:t>
      </w:r>
      <w:r>
        <w:rPr>
          <w:rFonts w:ascii="Arial" w:hAnsi="Arial" w:cs="Arial"/>
          <w:sz w:val="20"/>
          <w:szCs w:val="20"/>
        </w:rPr>
        <w:t xml:space="preserve"> (2)</w:t>
      </w:r>
      <w:r w:rsidRPr="00AE479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See the table below (4)</w:t>
      </w:r>
      <w:r w:rsidRPr="00AE479E">
        <w:rPr>
          <w:rFonts w:ascii="Arial" w:hAnsi="Arial" w:cs="Arial"/>
          <w:sz w:val="20"/>
          <w:szCs w:val="20"/>
        </w:rPr>
        <w:t>.</w:t>
      </w:r>
    </w:p>
    <w:p w:rsidR="00510FEE" w:rsidRPr="00AE479E" w:rsidRDefault="00510FEE" w:rsidP="00510FE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70" w:type="dxa"/>
        <w:tblLayout w:type="fixed"/>
        <w:tblLook w:val="04A0" w:firstRow="1" w:lastRow="0" w:firstColumn="1" w:lastColumn="0" w:noHBand="0" w:noVBand="1"/>
      </w:tblPr>
      <w:tblGrid>
        <w:gridCol w:w="1435"/>
        <w:gridCol w:w="810"/>
        <w:gridCol w:w="1350"/>
        <w:gridCol w:w="5675"/>
      </w:tblGrid>
      <w:tr w:rsidR="00510FEE" w:rsidTr="002529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 1/2 Hours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Starting Dose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EE" w:rsidRDefault="00510FEE" w:rsidP="002529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Special Considerations</w:t>
            </w:r>
          </w:p>
        </w:tc>
      </w:tr>
      <w:tr w:rsidR="00510FEE" w:rsidTr="002529D2"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Anti-spasticity Agents</w:t>
            </w:r>
          </w:p>
        </w:tc>
      </w:tr>
      <w:tr w:rsidR="00510FEE" w:rsidTr="002529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Baclofen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mg TID 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Lowers seizure threshold. Can increase Alk Phos and AST.  Available intrathecally. Adult max dose 80 mg/day. Reduce dose when CrCl &lt;80 mL/min. Also prescribed for alcohol use disorder </w:t>
            </w:r>
            <w:r w:rsidR="00713FF6">
              <w:rPr>
                <w:rFonts w:ascii="Arial" w:hAnsi="Arial" w:cs="Arial"/>
                <w:sz w:val="20"/>
                <w:szCs w:val="20"/>
              </w:rPr>
              <w:t>and hiccoughs</w:t>
            </w:r>
            <w:r>
              <w:rPr>
                <w:rFonts w:ascii="Arial" w:hAnsi="Arial" w:cs="Arial"/>
                <w:sz w:val="20"/>
                <w:szCs w:val="20"/>
              </w:rPr>
              <w:t xml:space="preserve"> (10). FDA approved ages ≥ 12.</w:t>
            </w:r>
          </w:p>
        </w:tc>
      </w:tr>
      <w:tr w:rsidR="00510FEE" w:rsidTr="002529D2"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Anti-spasmodic Agents</w:t>
            </w:r>
          </w:p>
        </w:tc>
      </w:tr>
      <w:tr w:rsidR="00510FEE" w:rsidTr="002529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Cyclo-benzaprine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 TID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Structurally akin to tricyclic antidepressants; caution when cardiac issues present as patients are at risk for anticholineric effects like orthostasis, and QTc prolongation.  Adult max daily dose 30 mg.  FDA approved ages 15 and above.</w:t>
            </w:r>
          </w:p>
        </w:tc>
      </w:tr>
      <w:tr w:rsidR="00510FEE" w:rsidTr="002529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Carisoprodol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 mg QID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Metabolized to meprobamate which has significant abuse potential.  Max </w:t>
            </w:r>
            <w:r w:rsidR="00713FF6">
              <w:rPr>
                <w:rFonts w:ascii="Arial" w:hAnsi="Arial" w:cs="Arial"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sz w:val="20"/>
                <w:szCs w:val="20"/>
              </w:rPr>
              <w:t>daily dose 1400 mg.</w:t>
            </w:r>
          </w:p>
        </w:tc>
      </w:tr>
      <w:tr w:rsidR="00510FEE" w:rsidTr="002529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Metaxalone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 mg TID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Caution in liver failure. Max daily adult dose 2400 mg. </w:t>
            </w:r>
          </w:p>
        </w:tc>
      </w:tr>
      <w:tr w:rsidR="00510FEE" w:rsidTr="002529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Metho-carbamol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1-2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 mg QID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cause brownish/green urine discoloration.</w:t>
            </w:r>
          </w:p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Consider 1500 mg QID as a loading dose for 2-3 days.  FDA approved ages 16 and above. </w:t>
            </w:r>
          </w:p>
        </w:tc>
      </w:tr>
      <w:tr w:rsidR="00510FEE" w:rsidTr="002529D2"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Combination Agents</w:t>
            </w:r>
          </w:p>
        </w:tc>
      </w:tr>
      <w:tr w:rsidR="00510FEE" w:rsidTr="002529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Diazepam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2-10 mg TID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Significant abuse potential.  </w:t>
            </w:r>
          </w:p>
        </w:tc>
      </w:tr>
      <w:tr w:rsidR="00510FEE" w:rsidTr="002529D2">
        <w:trPr>
          <w:trHeight w:val="77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Tizanidine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20-40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mg TID </w:t>
            </w:r>
          </w:p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EE" w:rsidRDefault="00510FEE" w:rsidP="0025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Hypotension, asthenia, dry-mouth may result. Contra-indicated with ciprofloxaxin and other CYP A12 inhibitors. Dose reduce when CrCl &lt;25 mL/min. Max daily dose 36 mg.</w:t>
            </w:r>
          </w:p>
        </w:tc>
      </w:tr>
    </w:tbl>
    <w:p w:rsidR="00510FEE" w:rsidRDefault="00510FEE" w:rsidP="00510FEE">
      <w:pPr>
        <w:rPr>
          <w:rFonts w:ascii="Arial" w:hAnsi="Arial" w:cs="Arial"/>
          <w:b/>
          <w:sz w:val="20"/>
          <w:szCs w:val="20"/>
        </w:rPr>
      </w:pPr>
    </w:p>
    <w:p w:rsidR="00510FEE" w:rsidRPr="00AE479E" w:rsidRDefault="00510FEE" w:rsidP="00510FEE">
      <w:pPr>
        <w:rPr>
          <w:rFonts w:ascii="Arial" w:hAnsi="Arial" w:cs="Arial"/>
          <w:b/>
          <w:sz w:val="20"/>
          <w:szCs w:val="20"/>
        </w:rPr>
      </w:pPr>
      <w:r w:rsidRPr="00AE479E">
        <w:rPr>
          <w:rFonts w:ascii="Arial" w:hAnsi="Arial" w:cs="Arial"/>
          <w:b/>
          <w:sz w:val="20"/>
          <w:szCs w:val="20"/>
        </w:rPr>
        <w:t>References:</w:t>
      </w:r>
    </w:p>
    <w:p w:rsidR="00510FEE" w:rsidRPr="00AE479E" w:rsidRDefault="00510FEE" w:rsidP="00510F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E479E">
        <w:rPr>
          <w:rFonts w:ascii="Arial" w:hAnsi="Arial" w:cs="Arial"/>
          <w:sz w:val="20"/>
          <w:szCs w:val="20"/>
        </w:rPr>
        <w:t xml:space="preserve">van Tulder MW, Touray T, Furlan AD, et al. Muscle relaxants for nonspecific low back pain: a systematic review within the framework of the cochrane collaboration. </w:t>
      </w:r>
      <w:r w:rsidRPr="00AE479E">
        <w:rPr>
          <w:rFonts w:ascii="Arial" w:hAnsi="Arial" w:cs="Arial"/>
          <w:iCs/>
          <w:sz w:val="20"/>
          <w:szCs w:val="20"/>
        </w:rPr>
        <w:t>Spine</w:t>
      </w:r>
      <w:r w:rsidRPr="00AE479E">
        <w:rPr>
          <w:rFonts w:ascii="Arial" w:hAnsi="Arial" w:cs="Arial"/>
          <w:sz w:val="20"/>
          <w:szCs w:val="20"/>
        </w:rPr>
        <w:t xml:space="preserve">. 2003;28(17):1978-1992. </w:t>
      </w:r>
    </w:p>
    <w:p w:rsidR="00510FEE" w:rsidRPr="00D31AA2" w:rsidRDefault="00510FEE" w:rsidP="00510FE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E479E">
        <w:rPr>
          <w:rFonts w:ascii="Arial" w:hAnsi="Arial" w:cs="Arial"/>
          <w:color w:val="27292A"/>
          <w:sz w:val="20"/>
          <w:szCs w:val="20"/>
        </w:rPr>
        <w:t xml:space="preserve">See S, Ginzburg R. Choosing a skeletal muscle relaxant. </w:t>
      </w:r>
      <w:r w:rsidRPr="00D31AA2">
        <w:rPr>
          <w:rFonts w:ascii="Arial" w:hAnsi="Arial" w:cs="Arial"/>
          <w:color w:val="27292A"/>
          <w:sz w:val="20"/>
          <w:szCs w:val="20"/>
        </w:rPr>
        <w:t>Am Fam Physician</w:t>
      </w:r>
      <w:r w:rsidRPr="00AE479E">
        <w:rPr>
          <w:rFonts w:ascii="Arial" w:hAnsi="Arial" w:cs="Arial"/>
          <w:i/>
          <w:color w:val="27292A"/>
          <w:sz w:val="20"/>
          <w:szCs w:val="20"/>
        </w:rPr>
        <w:t>.</w:t>
      </w:r>
      <w:r w:rsidRPr="00AE479E">
        <w:rPr>
          <w:rFonts w:ascii="Arial" w:hAnsi="Arial" w:cs="Arial"/>
          <w:color w:val="27292A"/>
          <w:sz w:val="20"/>
          <w:szCs w:val="20"/>
        </w:rPr>
        <w:t xml:space="preserve"> 2008 Aug 1;78(3):365-70. </w:t>
      </w:r>
    </w:p>
    <w:p w:rsidR="00510FEE" w:rsidRPr="00973C23" w:rsidRDefault="00510FEE" w:rsidP="00510FEE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973C23">
        <w:rPr>
          <w:rFonts w:ascii="Arial" w:hAnsi="Arial" w:cs="Arial"/>
          <w:b w:val="0"/>
          <w:sz w:val="20"/>
          <w:szCs w:val="20"/>
        </w:rPr>
        <w:t>Spence MM, Shin PJ, et al.  Risk of injury associated with skeletal muscle relaxant use in older adults.  The Annals of Pharamcotherapy.2013:47:993-8.</w:t>
      </w:r>
    </w:p>
    <w:p w:rsidR="00510FEE" w:rsidRPr="00AE479E" w:rsidRDefault="00510FEE" w:rsidP="00510FEE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AE479E">
        <w:rPr>
          <w:rFonts w:ascii="Arial" w:hAnsi="Arial" w:cs="Arial"/>
          <w:b w:val="0"/>
          <w:sz w:val="20"/>
          <w:szCs w:val="20"/>
          <w:shd w:val="clear" w:color="auto" w:fill="FFFFFF"/>
        </w:rPr>
        <w:t>See S</w:t>
      </w:r>
      <w:r w:rsidRPr="00AE479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,</w:t>
      </w:r>
      <w:r w:rsidRPr="00AE479E">
        <w:rPr>
          <w:rStyle w:val="apple-converted-spac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 </w:t>
      </w:r>
      <w:r w:rsidRPr="00AE479E">
        <w:rPr>
          <w:rFonts w:ascii="Arial" w:hAnsi="Arial" w:cs="Arial"/>
          <w:b w:val="0"/>
          <w:sz w:val="20"/>
          <w:szCs w:val="20"/>
          <w:shd w:val="clear" w:color="auto" w:fill="FFFFFF"/>
        </w:rPr>
        <w:t>Ginzburg R</w:t>
      </w:r>
      <w:r w:rsidRPr="00AE479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. </w:t>
      </w:r>
      <w:r w:rsidRPr="00AE479E">
        <w:rPr>
          <w:rFonts w:ascii="Arial" w:hAnsi="Arial" w:cs="Arial"/>
          <w:b w:val="0"/>
          <w:sz w:val="20"/>
          <w:szCs w:val="20"/>
        </w:rPr>
        <w:t xml:space="preserve">Skeletal muscle relaxants. </w:t>
      </w:r>
      <w:hyperlink r:id="rId9" w:tooltip="Pharmacotherapy." w:history="1">
        <w:r w:rsidRPr="00AE479E">
          <w:rPr>
            <w:rStyle w:val="Hyperlink"/>
            <w:rFonts w:ascii="Arial" w:hAnsi="Arial" w:cs="Arial"/>
            <w:b w:val="0"/>
            <w:color w:val="auto"/>
            <w:sz w:val="20"/>
            <w:szCs w:val="20"/>
            <w:u w:val="none"/>
            <w:shd w:val="clear" w:color="auto" w:fill="FFFFFF"/>
          </w:rPr>
          <w:t>Pharmacotherapy</w:t>
        </w:r>
        <w:r w:rsidRPr="00AE479E">
          <w:rPr>
            <w:rStyle w:val="Hyperlink"/>
            <w:rFonts w:ascii="Arial" w:hAnsi="Arial" w:cs="Arial"/>
            <w:b w:val="0"/>
            <w:color w:val="auto"/>
            <w:sz w:val="20"/>
            <w:szCs w:val="20"/>
            <w:shd w:val="clear" w:color="auto" w:fill="FFFFFF"/>
          </w:rPr>
          <w:t>.</w:t>
        </w:r>
      </w:hyperlink>
      <w:r w:rsidRPr="00AE479E">
        <w:rPr>
          <w:rStyle w:val="apple-converted-space"/>
          <w:rFonts w:ascii="Arial" w:hAnsi="Arial" w:cs="Arial"/>
          <w:b w:val="0"/>
          <w:sz w:val="20"/>
          <w:szCs w:val="20"/>
          <w:shd w:val="clear" w:color="auto" w:fill="FFFFFF"/>
        </w:rPr>
        <w:t> </w:t>
      </w:r>
      <w:r w:rsidRPr="00AE479E">
        <w:rPr>
          <w:rFonts w:ascii="Arial" w:hAnsi="Arial" w:cs="Arial"/>
          <w:b w:val="0"/>
          <w:sz w:val="20"/>
          <w:szCs w:val="20"/>
          <w:shd w:val="clear" w:color="auto" w:fill="FFFFFF"/>
        </w:rPr>
        <w:t>2008 Feb;28(2):207-13.</w:t>
      </w:r>
    </w:p>
    <w:p w:rsidR="00510FEE" w:rsidRPr="00AE479E" w:rsidRDefault="00510FEE" w:rsidP="00510FE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E479E">
        <w:rPr>
          <w:rFonts w:ascii="Arial" w:hAnsi="Arial" w:cs="Arial"/>
          <w:sz w:val="20"/>
          <w:szCs w:val="20"/>
        </w:rPr>
        <w:t>Chou R, Peterson K, Helfand M. Comparative efficacy and safety of skeletal muscle relaxants for spasticity and musculoskeletal conditions: a systematic review. J Pain Symptom Manage. 2004;28(2):140–175.</w:t>
      </w:r>
    </w:p>
    <w:p w:rsidR="00510FEE" w:rsidRPr="00DA0E5F" w:rsidRDefault="00863A88" w:rsidP="00510FEE">
      <w:pPr>
        <w:pStyle w:val="ListParagraph"/>
        <w:numPr>
          <w:ilvl w:val="0"/>
          <w:numId w:val="5"/>
        </w:numPr>
        <w:spacing w:after="0" w:line="240" w:lineRule="auto"/>
        <w:rPr>
          <w:rStyle w:val="highlight"/>
          <w:rFonts w:ascii="Arial" w:hAnsi="Arial" w:cs="Arial"/>
          <w:b/>
          <w:sz w:val="20"/>
          <w:szCs w:val="20"/>
        </w:rPr>
      </w:pPr>
      <w:hyperlink r:id="rId10" w:history="1">
        <w:r w:rsidR="00510FEE" w:rsidRPr="00DA0E5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Brar SP</w:t>
        </w:r>
      </w:hyperlink>
      <w:r w:rsidR="00510FEE" w:rsidRPr="00DA0E5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510FEE" w:rsidRPr="00DA0E5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11" w:history="1">
        <w:r w:rsidR="00510FEE" w:rsidRPr="00DA0E5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Smith MB</w:t>
        </w:r>
      </w:hyperlink>
      <w:r w:rsidR="00510FEE" w:rsidRPr="00DA0E5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510FEE" w:rsidRPr="00DA0E5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510FEE" w:rsidRPr="00DA0E5F">
        <w:rPr>
          <w:rFonts w:ascii="Arial" w:hAnsi="Arial" w:cs="Arial"/>
        </w:rPr>
        <w:t>et al</w:t>
      </w:r>
      <w:r w:rsidR="00510FEE" w:rsidRPr="00DA0E5F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510FEE" w:rsidRPr="00DA0E5F">
        <w:rPr>
          <w:rFonts w:ascii="Arial" w:hAnsi="Arial" w:cs="Arial"/>
          <w:sz w:val="20"/>
          <w:szCs w:val="20"/>
        </w:rPr>
        <w:t xml:space="preserve">Evaluation of treatment protocols on minimal to moderate spasticity in multiple sclerosis. </w:t>
      </w:r>
      <w:hyperlink r:id="rId12" w:tooltip="Archives of physical medicine and rehabilitation." w:history="1">
        <w:r w:rsidR="00510FEE" w:rsidRPr="00DA0E5F">
          <w:rPr>
            <w:rStyle w:val="highlight"/>
            <w:rFonts w:ascii="Arial" w:hAnsi="Arial" w:cs="Arial"/>
            <w:sz w:val="20"/>
            <w:szCs w:val="20"/>
            <w:shd w:val="clear" w:color="auto" w:fill="FFFFFF"/>
          </w:rPr>
          <w:t>Arch Phys Med Rehabil</w:t>
        </w:r>
        <w:r w:rsidR="00510FEE" w:rsidRPr="00DA0E5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.</w:t>
        </w:r>
      </w:hyperlink>
      <w:r w:rsidR="00510FEE" w:rsidRPr="00DA0E5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510FEE" w:rsidRPr="00DA0E5F">
        <w:rPr>
          <w:rFonts w:ascii="Arial" w:hAnsi="Arial" w:cs="Arial"/>
          <w:sz w:val="20"/>
          <w:szCs w:val="20"/>
          <w:shd w:val="clear" w:color="auto" w:fill="FFFFFF"/>
        </w:rPr>
        <w:t>1991 Mar;72(3):</w:t>
      </w:r>
      <w:r w:rsidR="00510FEE" w:rsidRPr="00DA0E5F">
        <w:rPr>
          <w:rStyle w:val="highlight"/>
          <w:rFonts w:ascii="Arial" w:hAnsi="Arial" w:cs="Arial"/>
          <w:sz w:val="20"/>
          <w:szCs w:val="20"/>
          <w:shd w:val="clear" w:color="auto" w:fill="FFFFFF"/>
        </w:rPr>
        <w:t xml:space="preserve">186-9. </w:t>
      </w:r>
    </w:p>
    <w:p w:rsidR="00510FEE" w:rsidRPr="00DA0E5F" w:rsidRDefault="00510FEE" w:rsidP="00510FEE">
      <w:pPr>
        <w:pStyle w:val="ListParagraph"/>
        <w:numPr>
          <w:ilvl w:val="0"/>
          <w:numId w:val="5"/>
        </w:numPr>
        <w:spacing w:after="0" w:line="240" w:lineRule="auto"/>
        <w:rPr>
          <w:rStyle w:val="highlight"/>
          <w:rFonts w:ascii="Arial" w:hAnsi="Arial" w:cs="Arial"/>
          <w:b/>
          <w:sz w:val="20"/>
          <w:szCs w:val="20"/>
        </w:rPr>
      </w:pPr>
      <w:r>
        <w:rPr>
          <w:rStyle w:val="highlight"/>
          <w:rFonts w:ascii="Arial" w:hAnsi="Arial" w:cs="Arial"/>
          <w:sz w:val="20"/>
          <w:szCs w:val="20"/>
        </w:rPr>
        <w:t>Smith C, Birnbaum G, et al.  Tizanidine treatment of spascticity caused by multiple sclerosis: results of a double-blind, placebo-controlled trial.  US Tizanidine Study Group.  Neurology 1994; 44(11 Supp 9): S34-42;discussion S42-3.</w:t>
      </w:r>
    </w:p>
    <w:p w:rsidR="00510FEE" w:rsidRPr="00B3072F" w:rsidRDefault="00863A88" w:rsidP="00510FE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hyperlink r:id="rId13" w:history="1">
        <w:r w:rsidR="00510FEE" w:rsidRPr="00B3072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Hoogstraten MC</w:t>
        </w:r>
      </w:hyperlink>
      <w:r w:rsidR="00510FEE" w:rsidRPr="00B3072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510FEE" w:rsidRPr="00B3072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14" w:history="1">
        <w:r w:rsidR="00510FEE" w:rsidRPr="00B3072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van der Ploeg RJ</w:t>
        </w:r>
      </w:hyperlink>
      <w:r w:rsidR="00510FEE" w:rsidRPr="00B3072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510FEE" w:rsidRPr="00B3072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15" w:history="1">
        <w:r w:rsidR="00510FEE" w:rsidRPr="00B3072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vd Burg W</w:t>
        </w:r>
      </w:hyperlink>
      <w:r w:rsidR="00510FEE" w:rsidRPr="00B3072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510FEE" w:rsidRPr="00B3072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16" w:history="1">
        <w:r w:rsidR="00510FEE" w:rsidRPr="00B3072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Vreeling A</w:t>
        </w:r>
      </w:hyperlink>
      <w:r w:rsidR="00510FEE" w:rsidRPr="00B3072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510FEE" w:rsidRPr="00B3072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17" w:history="1">
        <w:r w:rsidR="00510FEE" w:rsidRPr="00B3072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van Marle S</w:t>
        </w:r>
      </w:hyperlink>
      <w:r w:rsidR="00510FEE" w:rsidRPr="00B3072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510FEE" w:rsidRPr="00B3072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18" w:history="1">
        <w:r w:rsidR="00510FEE" w:rsidRPr="00B3072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Minderhoud JM</w:t>
        </w:r>
      </w:hyperlink>
      <w:r w:rsidR="00510FEE" w:rsidRPr="00B3072F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510FEE" w:rsidRPr="00B3072F">
        <w:rPr>
          <w:rFonts w:ascii="Arial" w:hAnsi="Arial" w:cs="Arial"/>
          <w:sz w:val="20"/>
          <w:szCs w:val="20"/>
        </w:rPr>
        <w:t xml:space="preserve"> Tizanidine versus baclofen in the treatment of spasticity in multiple sclerosis patients. </w:t>
      </w:r>
      <w:hyperlink r:id="rId19" w:tooltip="Acta neurologica Scandinavica." w:history="1">
        <w:r w:rsidR="00510FEE" w:rsidRPr="00B3072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Acta Neurol Scand.</w:t>
        </w:r>
      </w:hyperlink>
      <w:r w:rsidR="00510FEE" w:rsidRPr="00B3072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510FEE" w:rsidRPr="00B3072F">
        <w:rPr>
          <w:rFonts w:ascii="Arial" w:hAnsi="Arial" w:cs="Arial"/>
          <w:sz w:val="20"/>
          <w:szCs w:val="20"/>
          <w:shd w:val="clear" w:color="auto" w:fill="FFFFFF"/>
        </w:rPr>
        <w:t>1988 Mar;77(3):224-30.</w:t>
      </w:r>
    </w:p>
    <w:p w:rsidR="00510FEE" w:rsidRPr="00B3072F" w:rsidRDefault="00510FEE" w:rsidP="00510FE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3072F">
        <w:rPr>
          <w:rFonts w:ascii="Arial" w:hAnsi="Arial" w:cs="Arial"/>
          <w:color w:val="1A1A1A"/>
          <w:sz w:val="20"/>
          <w:szCs w:val="20"/>
        </w:rPr>
        <w:t xml:space="preserve">Fromm GH. Baclofen as an adjuvant analgesic. </w:t>
      </w:r>
      <w:r w:rsidRPr="00B3072F">
        <w:rPr>
          <w:rFonts w:ascii="Arial" w:hAnsi="Arial" w:cs="Arial"/>
          <w:iCs/>
          <w:color w:val="1A1A1A"/>
          <w:sz w:val="20"/>
          <w:szCs w:val="20"/>
        </w:rPr>
        <w:t>J Pain Symptom Manage</w:t>
      </w:r>
      <w:r w:rsidRPr="00B3072F">
        <w:rPr>
          <w:rFonts w:ascii="Arial" w:hAnsi="Arial" w:cs="Arial"/>
          <w:color w:val="1A1A1A"/>
          <w:sz w:val="20"/>
          <w:szCs w:val="20"/>
        </w:rPr>
        <w:t>. 1994;</w:t>
      </w:r>
      <w:r w:rsidRPr="00B3072F">
        <w:rPr>
          <w:rFonts w:ascii="Arial" w:hAnsi="Arial" w:cs="Arial"/>
          <w:bCs/>
          <w:color w:val="1A1A1A"/>
          <w:sz w:val="20"/>
          <w:szCs w:val="20"/>
        </w:rPr>
        <w:t>9</w:t>
      </w:r>
      <w:r w:rsidRPr="00B3072F">
        <w:rPr>
          <w:rFonts w:ascii="Arial" w:hAnsi="Arial" w:cs="Arial"/>
          <w:color w:val="1A1A1A"/>
          <w:sz w:val="20"/>
          <w:szCs w:val="20"/>
        </w:rPr>
        <w:t>:500–509.</w:t>
      </w:r>
    </w:p>
    <w:p w:rsidR="00510FEE" w:rsidRPr="004B0EB9" w:rsidRDefault="00510FEE" w:rsidP="00510FE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3072F">
        <w:rPr>
          <w:rFonts w:ascii="Arial" w:hAnsi="Arial" w:cs="Arial"/>
          <w:sz w:val="20"/>
          <w:szCs w:val="20"/>
          <w:shd w:val="clear" w:color="auto" w:fill="FFFFFF"/>
        </w:rPr>
        <w:t>Addolorato G</w:t>
      </w:r>
      <w:r w:rsidRPr="00B3072F"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 w:rsidRPr="00B3072F">
        <w:rPr>
          <w:rFonts w:ascii="Arial" w:hAnsi="Arial" w:cs="Arial"/>
          <w:sz w:val="20"/>
          <w:szCs w:val="20"/>
          <w:shd w:val="clear" w:color="auto" w:fill="FFFFFF"/>
        </w:rPr>
        <w:t>Leggio L</w:t>
      </w:r>
      <w:r w:rsidRPr="00B3072F"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 w:rsidRPr="00B3072F">
        <w:rPr>
          <w:rFonts w:ascii="Arial" w:hAnsi="Arial" w:cs="Arial"/>
          <w:sz w:val="20"/>
          <w:szCs w:val="20"/>
          <w:shd w:val="clear" w:color="auto" w:fill="FFFFFF"/>
        </w:rPr>
        <w:t>Ferrulli A</w:t>
      </w:r>
      <w:r w:rsidRPr="00B3072F"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 w:rsidRPr="00B3072F">
        <w:rPr>
          <w:rFonts w:ascii="Arial" w:hAnsi="Arial" w:cs="Arial"/>
          <w:sz w:val="20"/>
          <w:szCs w:val="20"/>
          <w:shd w:val="clear" w:color="auto" w:fill="FFFFFF"/>
        </w:rPr>
        <w:t>Cardone S</w:t>
      </w:r>
      <w:r>
        <w:rPr>
          <w:rFonts w:ascii="Arial" w:hAnsi="Arial" w:cs="Arial"/>
          <w:sz w:val="20"/>
          <w:szCs w:val="20"/>
        </w:rPr>
        <w:t xml:space="preserve">, et al. Effectiveness and safety of baclofen for maintenance </w:t>
      </w:r>
      <w:r w:rsidRPr="00B3072F">
        <w:rPr>
          <w:rFonts w:ascii="Arial" w:hAnsi="Arial" w:cs="Arial"/>
          <w:color w:val="000000"/>
          <w:sz w:val="20"/>
          <w:szCs w:val="20"/>
        </w:rPr>
        <w:t>of </w:t>
      </w:r>
      <w:r w:rsidRPr="00B3072F">
        <w:rPr>
          <w:rStyle w:val="highlight"/>
          <w:rFonts w:ascii="Arial" w:hAnsi="Arial" w:cs="Arial"/>
          <w:color w:val="000000"/>
          <w:sz w:val="20"/>
          <w:szCs w:val="20"/>
        </w:rPr>
        <w:t>alcohol abstinence</w:t>
      </w:r>
      <w:r w:rsidRPr="00B3072F">
        <w:rPr>
          <w:rFonts w:ascii="Arial" w:hAnsi="Arial" w:cs="Arial"/>
          <w:color w:val="000000"/>
          <w:sz w:val="20"/>
          <w:szCs w:val="20"/>
        </w:rPr>
        <w:t> in </w:t>
      </w:r>
      <w:r w:rsidRPr="00B3072F">
        <w:rPr>
          <w:rStyle w:val="highlight"/>
          <w:rFonts w:ascii="Arial" w:hAnsi="Arial" w:cs="Arial"/>
          <w:color w:val="000000"/>
          <w:sz w:val="20"/>
          <w:szCs w:val="20"/>
        </w:rPr>
        <w:t>alcohol-dependent</w:t>
      </w:r>
      <w:r>
        <w:rPr>
          <w:rStyle w:val="highlight"/>
          <w:rFonts w:ascii="Arial" w:hAnsi="Arial" w:cs="Arial"/>
          <w:color w:val="000000"/>
          <w:sz w:val="20"/>
          <w:szCs w:val="20"/>
        </w:rPr>
        <w:t xml:space="preserve"> </w:t>
      </w:r>
      <w:r w:rsidRPr="00B3072F">
        <w:rPr>
          <w:rStyle w:val="highlight"/>
          <w:rFonts w:ascii="Arial" w:hAnsi="Arial" w:cs="Arial"/>
          <w:color w:val="000000"/>
          <w:sz w:val="20"/>
          <w:szCs w:val="20"/>
        </w:rPr>
        <w:t>patients</w:t>
      </w:r>
      <w:r w:rsidRPr="00B3072F">
        <w:rPr>
          <w:rFonts w:ascii="Arial" w:hAnsi="Arial" w:cs="Arial"/>
          <w:color w:val="000000"/>
          <w:sz w:val="20"/>
          <w:szCs w:val="20"/>
        </w:rPr>
        <w:t> with </w:t>
      </w:r>
      <w:r w:rsidRPr="00B3072F">
        <w:rPr>
          <w:rStyle w:val="highlight"/>
          <w:rFonts w:ascii="Arial" w:hAnsi="Arial" w:cs="Arial"/>
          <w:color w:val="000000"/>
          <w:sz w:val="20"/>
          <w:szCs w:val="20"/>
        </w:rPr>
        <w:t>liver cirrhosis</w:t>
      </w:r>
      <w:r w:rsidRPr="00B3072F">
        <w:rPr>
          <w:rFonts w:ascii="Arial" w:hAnsi="Arial" w:cs="Arial"/>
          <w:color w:val="000000"/>
          <w:sz w:val="20"/>
          <w:szCs w:val="20"/>
        </w:rPr>
        <w:t>: randomised, </w:t>
      </w:r>
      <w:r w:rsidRPr="00B3072F">
        <w:rPr>
          <w:rStyle w:val="highlight"/>
          <w:rFonts w:ascii="Arial" w:hAnsi="Arial" w:cs="Arial"/>
          <w:color w:val="000000"/>
          <w:sz w:val="20"/>
          <w:szCs w:val="20"/>
        </w:rPr>
        <w:t>double-blind</w:t>
      </w:r>
      <w:r w:rsidRPr="00B3072F">
        <w:rPr>
          <w:rFonts w:ascii="Arial" w:hAnsi="Arial" w:cs="Arial"/>
          <w:color w:val="000000"/>
          <w:sz w:val="20"/>
          <w:szCs w:val="20"/>
        </w:rPr>
        <w:t> </w:t>
      </w:r>
      <w:r w:rsidRPr="00B3072F">
        <w:rPr>
          <w:rStyle w:val="highlight"/>
          <w:rFonts w:ascii="Arial" w:hAnsi="Arial" w:cs="Arial"/>
          <w:color w:val="000000"/>
          <w:sz w:val="20"/>
          <w:szCs w:val="20"/>
        </w:rPr>
        <w:t>controlled</w:t>
      </w:r>
      <w:r w:rsidRPr="00B3072F">
        <w:rPr>
          <w:rFonts w:ascii="Arial" w:hAnsi="Arial" w:cs="Arial"/>
          <w:color w:val="000000"/>
          <w:sz w:val="20"/>
          <w:szCs w:val="20"/>
        </w:rPr>
        <w:t> </w:t>
      </w:r>
      <w:r w:rsidRPr="00B3072F">
        <w:rPr>
          <w:rStyle w:val="highlight"/>
          <w:rFonts w:ascii="Arial" w:hAnsi="Arial" w:cs="Arial"/>
          <w:color w:val="000000"/>
          <w:sz w:val="20"/>
          <w:szCs w:val="20"/>
        </w:rPr>
        <w:t>study</w:t>
      </w:r>
      <w:r w:rsidRPr="00B3072F">
        <w:rPr>
          <w:rFonts w:ascii="Arial" w:hAnsi="Arial" w:cs="Arial"/>
          <w:color w:val="000000"/>
          <w:sz w:val="20"/>
          <w:szCs w:val="20"/>
        </w:rPr>
        <w:t xml:space="preserve">. </w:t>
      </w:r>
      <w:r w:rsidRPr="00B3072F">
        <w:rPr>
          <w:rFonts w:ascii="Arial" w:hAnsi="Arial" w:cs="Arial"/>
          <w:color w:val="000000"/>
          <w:sz w:val="20"/>
          <w:szCs w:val="20"/>
          <w:shd w:val="clear" w:color="auto" w:fill="FFFFFF"/>
        </w:rPr>
        <w:t>Lancet. 2007 Dec 8;370(9603):1915-22.</w:t>
      </w:r>
    </w:p>
    <w:p w:rsidR="00510FEE" w:rsidRPr="004B0EB9" w:rsidRDefault="00510FEE" w:rsidP="00510FEE">
      <w:pPr>
        <w:pStyle w:val="ListParagraph"/>
        <w:rPr>
          <w:rFonts w:ascii="Arial" w:hAnsi="Arial" w:cs="Arial"/>
          <w:sz w:val="20"/>
          <w:szCs w:val="20"/>
        </w:rPr>
      </w:pPr>
    </w:p>
    <w:p w:rsidR="00510FEE" w:rsidRDefault="00510FEE" w:rsidP="00510F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Conflicts of Interest:  </w:t>
      </w:r>
      <w:r w:rsidRPr="004B0EB9">
        <w:rPr>
          <w:rFonts w:ascii="Arial" w:hAnsi="Arial" w:cs="Arial"/>
          <w:sz w:val="20"/>
          <w:szCs w:val="20"/>
        </w:rPr>
        <w:t>none</w:t>
      </w:r>
    </w:p>
    <w:p w:rsidR="00510FEE" w:rsidRDefault="00510FEE" w:rsidP="00510F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Authors’ Affiliations:  </w:t>
      </w:r>
      <w:r w:rsidRPr="004B0EB9">
        <w:rPr>
          <w:rFonts w:ascii="Arial" w:hAnsi="Arial" w:cs="Arial"/>
          <w:sz w:val="20"/>
          <w:szCs w:val="20"/>
        </w:rPr>
        <w:t>University of Pittsburgh Medical Center</w:t>
      </w:r>
    </w:p>
    <w:p w:rsidR="00510FEE" w:rsidRPr="004B0EB9" w:rsidRDefault="00510FEE" w:rsidP="00510F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Version History:  </w:t>
      </w:r>
      <w:r w:rsidRPr="004B0EB9">
        <w:rPr>
          <w:rFonts w:ascii="Arial" w:hAnsi="Arial" w:cs="Arial"/>
          <w:sz w:val="20"/>
          <w:szCs w:val="20"/>
        </w:rPr>
        <w:t>originally edited by Sean Marks MD; first electronically published September 2017</w:t>
      </w:r>
    </w:p>
    <w:p w:rsidR="00510FEE" w:rsidRPr="00A739FC" w:rsidRDefault="00510FEE" w:rsidP="00647029">
      <w:pPr>
        <w:rPr>
          <w:rFonts w:ascii="Arial" w:hAnsi="Arial" w:cs="Arial"/>
          <w:sz w:val="20"/>
          <w:szCs w:val="20"/>
        </w:rPr>
      </w:pPr>
    </w:p>
    <w:p w:rsidR="00647029" w:rsidRDefault="00647029" w:rsidP="00647029">
      <w:pPr>
        <w:rPr>
          <w:rFonts w:ascii="Helvetica" w:hAnsi="Helvetica" w:cs="Helvetica"/>
          <w:i/>
          <w:iCs/>
          <w:sz w:val="20"/>
        </w:rPr>
      </w:pPr>
      <w:r>
        <w:rPr>
          <w:rFonts w:ascii="Helvetica" w:hAnsi="Helvetica" w:cs="Helvetica"/>
          <w:b/>
          <w:bCs/>
          <w:i/>
          <w:iCs/>
          <w:sz w:val="20"/>
        </w:rPr>
        <w:t>Fast Facts and Concepts</w:t>
      </w:r>
      <w:r>
        <w:rPr>
          <w:rFonts w:ascii="Helvetica" w:hAnsi="Helvetica" w:cs="Helvetica"/>
          <w:b/>
          <w:bCs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are edited by Sean Marks MD (Medical College of Wisconsin) and associate editor Drew A Rosielle MD (University of Minnesota Medical School), with the generous support of a volunteer peer-review editorial board, and are made available online by the </w:t>
      </w:r>
      <w:hyperlink r:id="rId20" w:history="1">
        <w:r>
          <w:rPr>
            <w:rStyle w:val="Hyperlink"/>
            <w:rFonts w:ascii="Helvetica" w:hAnsi="Helvetica" w:cs="Helvetica"/>
            <w:color w:val="386EFF"/>
            <w:sz w:val="20"/>
          </w:rPr>
          <w:t>Palliative Care Network of Wisconsin</w:t>
        </w:r>
      </w:hyperlink>
      <w:r>
        <w:rPr>
          <w:rFonts w:ascii="Helvetica" w:hAnsi="Helvetica" w:cs="Helvetica"/>
          <w:sz w:val="20"/>
        </w:rPr>
        <w:t xml:space="preserve"> (PCNOW); the authors of each individual </w:t>
      </w:r>
      <w:r>
        <w:rPr>
          <w:rFonts w:ascii="Helvetica" w:hAnsi="Helvetica" w:cs="Helvetica"/>
          <w:i/>
          <w:iCs/>
          <w:sz w:val="20"/>
        </w:rPr>
        <w:t xml:space="preserve">Fast Fact </w:t>
      </w:r>
      <w:r>
        <w:rPr>
          <w:rFonts w:ascii="Helvetica" w:hAnsi="Helvetica" w:cs="Helvetica"/>
          <w:sz w:val="20"/>
        </w:rPr>
        <w:t xml:space="preserve">are solely responsible for that </w:t>
      </w:r>
      <w:r>
        <w:rPr>
          <w:rFonts w:ascii="Helvetica" w:hAnsi="Helvetica" w:cs="Helvetica"/>
          <w:i/>
          <w:iCs/>
          <w:sz w:val="20"/>
        </w:rPr>
        <w:t>Fast Fact’s</w:t>
      </w:r>
      <w:r>
        <w:rPr>
          <w:rFonts w:ascii="Helvetica" w:hAnsi="Helvetica" w:cs="Helvetica"/>
          <w:sz w:val="20"/>
        </w:rPr>
        <w:t xml:space="preserve"> content. The full set of </w:t>
      </w:r>
      <w:r>
        <w:rPr>
          <w:rFonts w:ascii="Helvetica" w:hAnsi="Helvetica" w:cs="Helvetica"/>
          <w:i/>
          <w:iCs/>
          <w:sz w:val="20"/>
        </w:rPr>
        <w:t xml:space="preserve">Fast Facts </w:t>
      </w:r>
      <w:r>
        <w:rPr>
          <w:rFonts w:ascii="Helvetica" w:hAnsi="Helvetica" w:cs="Helvetica"/>
          <w:sz w:val="20"/>
        </w:rPr>
        <w:t xml:space="preserve">are available at </w:t>
      </w:r>
      <w:hyperlink r:id="rId21" w:history="1">
        <w:r>
          <w:rPr>
            <w:rStyle w:val="Hyperlink"/>
            <w:rFonts w:ascii="Helvetica" w:hAnsi="Helvetica" w:cs="Helvetica"/>
            <w:color w:val="386EFF"/>
            <w:sz w:val="20"/>
          </w:rPr>
          <w:t>Palliative Care Network of Wisconsin</w:t>
        </w:r>
      </w:hyperlink>
      <w:r>
        <w:rPr>
          <w:rFonts w:ascii="Helvetica" w:hAnsi="Helvetica" w:cs="Helvetica"/>
          <w:sz w:val="20"/>
        </w:rPr>
        <w:t xml:space="preserve"> </w:t>
      </w:r>
      <w:r w:rsidRPr="00647029">
        <w:rPr>
          <w:rFonts w:ascii="Helvetica" w:hAnsi="Helvetica" w:cs="Helvetica"/>
          <w:sz w:val="20"/>
        </w:rPr>
        <w:t>with</w:t>
      </w:r>
      <w:r>
        <w:rPr>
          <w:rFonts w:ascii="Helvetica" w:hAnsi="Helvetica" w:cs="Helvetica"/>
          <w:sz w:val="20"/>
        </w:rPr>
        <w:t xml:space="preserve"> contact information, and how to reference </w:t>
      </w:r>
      <w:r>
        <w:rPr>
          <w:rFonts w:ascii="Helvetica" w:hAnsi="Helvetica" w:cs="Helvetica"/>
          <w:i/>
          <w:iCs/>
          <w:sz w:val="20"/>
        </w:rPr>
        <w:t>Fast Facts.</w:t>
      </w:r>
    </w:p>
    <w:p w:rsidR="00647029" w:rsidRDefault="00647029" w:rsidP="00647029">
      <w:pPr>
        <w:rPr>
          <w:rFonts w:ascii="Helvetica" w:hAnsi="Helvetica" w:cs="Arial"/>
          <w:b/>
          <w:bCs/>
          <w:sz w:val="20"/>
        </w:rPr>
      </w:pPr>
      <w:r>
        <w:rPr>
          <w:rFonts w:ascii="Helvetica" w:hAnsi="Helvetica" w:cs="Arial"/>
          <w:b/>
          <w:bCs/>
          <w:sz w:val="20"/>
        </w:rPr>
        <w:t xml:space="preserve">Copyright: </w:t>
      </w:r>
      <w:r>
        <w:rPr>
          <w:rFonts w:ascii="Helvetica" w:hAnsi="Helvetica" w:cs="Arial"/>
          <w:bCs/>
          <w:sz w:val="20"/>
        </w:rPr>
        <w:t xml:space="preserve"> All </w:t>
      </w:r>
      <w:r>
        <w:rPr>
          <w:rFonts w:ascii="Helvetica" w:hAnsi="Helvetica" w:cs="Arial"/>
          <w:bCs/>
          <w:i/>
          <w:sz w:val="20"/>
        </w:rPr>
        <w:t xml:space="preserve">Fast Facts and Concepts </w:t>
      </w:r>
      <w:r>
        <w:rPr>
          <w:rFonts w:ascii="Helvetica" w:hAnsi="Helvetica" w:cs="Arial"/>
          <w:bCs/>
          <w:sz w:val="20"/>
        </w:rPr>
        <w:t>are published under a Creative Commons Attribution-NonCommercial 4.0 International Copyright (</w:t>
      </w:r>
      <w:hyperlink r:id="rId22" w:history="1">
        <w:r>
          <w:rPr>
            <w:rStyle w:val="Hyperlink"/>
            <w:rFonts w:ascii="Helvetica" w:hAnsi="Helvetica" w:cs="Arial"/>
            <w:bCs/>
            <w:sz w:val="20"/>
          </w:rPr>
          <w:t>http://creativecommons.org/licenses/by-nc/4.0/</w:t>
        </w:r>
      </w:hyperlink>
      <w:r>
        <w:rPr>
          <w:rFonts w:ascii="Helvetica" w:hAnsi="Helvetica" w:cs="Arial"/>
          <w:bCs/>
          <w:sz w:val="20"/>
        </w:rPr>
        <w:t xml:space="preserve">).  </w:t>
      </w:r>
      <w:r>
        <w:rPr>
          <w:rFonts w:ascii="Helvetica" w:hAnsi="Helvetica" w:cs="Arial"/>
          <w:bCs/>
          <w:i/>
          <w:sz w:val="20"/>
        </w:rPr>
        <w:t xml:space="preserve">Fast Facts </w:t>
      </w:r>
      <w:r>
        <w:rPr>
          <w:rFonts w:ascii="Helvetica" w:hAnsi="Helvetica" w:cs="Arial"/>
          <w:bCs/>
          <w:sz w:val="20"/>
        </w:rPr>
        <w:t xml:space="preserve">can only be copied and distributed for non-commercial, educational purposes. If you adapt or distribute a </w:t>
      </w:r>
      <w:r>
        <w:rPr>
          <w:rFonts w:ascii="Helvetica" w:hAnsi="Helvetica" w:cs="Arial"/>
          <w:bCs/>
          <w:i/>
          <w:sz w:val="20"/>
        </w:rPr>
        <w:t>Fast Fact</w:t>
      </w:r>
      <w:r>
        <w:rPr>
          <w:rFonts w:ascii="Helvetica" w:hAnsi="Helvetica" w:cs="Arial"/>
          <w:bCs/>
          <w:sz w:val="20"/>
        </w:rPr>
        <w:t>, let us know!</w:t>
      </w:r>
    </w:p>
    <w:p w:rsidR="00647029" w:rsidRDefault="00647029" w:rsidP="00647029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</w:rPr>
      </w:pPr>
      <w:r>
        <w:rPr>
          <w:rFonts w:ascii="Helvetica" w:hAnsi="Helvetica" w:cs="Arial"/>
          <w:b/>
          <w:bCs/>
          <w:sz w:val="20"/>
        </w:rPr>
        <w:t>Disclaimer:</w:t>
      </w:r>
      <w:r>
        <w:rPr>
          <w:rFonts w:ascii="Helvetica" w:hAnsi="Helvetica" w:cs="Arial"/>
          <w:bCs/>
          <w:sz w:val="20"/>
        </w:rPr>
        <w:t xml:space="preserve"> </w:t>
      </w:r>
      <w:r>
        <w:rPr>
          <w:rFonts w:ascii="Helvetica" w:hAnsi="Helvetica" w:cs="Arial"/>
          <w:bCs/>
          <w:i/>
          <w:sz w:val="20"/>
        </w:rPr>
        <w:t>Fast Facts and Concepts</w:t>
      </w:r>
      <w:r>
        <w:rPr>
          <w:rFonts w:ascii="Helvetica" w:hAnsi="Helvetica" w:cs="Arial"/>
          <w:bCs/>
          <w:sz w:val="20"/>
        </w:rPr>
        <w:t xml:space="preserve"> provide educational information for health care professionals. This information is not medical advice. </w:t>
      </w:r>
      <w:r>
        <w:rPr>
          <w:rFonts w:ascii="Helvetica" w:hAnsi="Helvetica" w:cs="Arial"/>
          <w:bCs/>
          <w:i/>
          <w:sz w:val="20"/>
        </w:rPr>
        <w:t xml:space="preserve">Fast Facts </w:t>
      </w:r>
      <w:r>
        <w:rPr>
          <w:rFonts w:ascii="Helvetica" w:hAnsi="Helvetica" w:cs="Arial"/>
          <w:bCs/>
          <w:sz w:val="20"/>
        </w:rPr>
        <w:t xml:space="preserve">are not continually updated, and new safety information may emerge after a </w:t>
      </w:r>
      <w:r>
        <w:rPr>
          <w:rFonts w:ascii="Helvetica" w:hAnsi="Helvetica" w:cs="Arial"/>
          <w:bCs/>
          <w:i/>
          <w:sz w:val="20"/>
        </w:rPr>
        <w:t xml:space="preserve">Fast Fact </w:t>
      </w:r>
      <w:r>
        <w:rPr>
          <w:rFonts w:ascii="Helvetica" w:hAnsi="Helvetica" w:cs="Arial"/>
          <w:bCs/>
          <w:sz w:val="20"/>
        </w:rPr>
        <w:t xml:space="preserve">is published. Health care providers should always exercise their own independent clinical judgment and consult other relevant and up-to-date experts and resources. Some </w:t>
      </w:r>
      <w:r>
        <w:rPr>
          <w:rFonts w:ascii="Helvetica" w:hAnsi="Helvetica" w:cs="Arial"/>
          <w:bCs/>
          <w:i/>
          <w:sz w:val="20"/>
        </w:rPr>
        <w:t>Fast Facts</w:t>
      </w:r>
      <w:r>
        <w:rPr>
          <w:rFonts w:ascii="Helvetica" w:hAnsi="Helvetica" w:cs="Arial"/>
          <w:bCs/>
          <w:sz w:val="20"/>
        </w:rPr>
        <w:t xml:space="preserve"> cite the use of a product in a dosage, for an indication, or in a manner other than that recommended in the product labeling. Accordingly, the official prescribing information should be consulted before any such product is used.</w:t>
      </w:r>
    </w:p>
    <w:p w:rsidR="00647029" w:rsidRDefault="00647029" w:rsidP="00647029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Arial" w:hAnsi="Arial"/>
        </w:rPr>
      </w:pPr>
    </w:p>
    <w:p w:rsidR="0099092F" w:rsidRDefault="0099092F"/>
    <w:p w:rsidR="00647029" w:rsidRDefault="00647029"/>
    <w:p w:rsidR="00647029" w:rsidRDefault="00515843">
      <w:r>
        <w:tab/>
      </w:r>
      <w:r>
        <w:tab/>
      </w:r>
    </w:p>
    <w:p w:rsidR="00515843" w:rsidRDefault="00515843"/>
    <w:sectPr w:rsidR="00515843" w:rsidSect="00321F34">
      <w:pgSz w:w="12240" w:h="15840"/>
      <w:pgMar w:top="1440" w:right="1440" w:bottom="1440" w:left="1440" w:header="720" w:footer="720" w:gutter="0"/>
      <w:pgBorders>
        <w:top w:val="single" w:sz="36" w:space="1" w:color="660066"/>
        <w:left w:val="single" w:sz="36" w:space="4" w:color="660066"/>
        <w:bottom w:val="single" w:sz="36" w:space="1" w:color="660066"/>
        <w:right w:val="single" w:sz="36" w:space="4" w:color="6600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A88" w:rsidRDefault="00863A88" w:rsidP="00A96A91">
      <w:r>
        <w:separator/>
      </w:r>
    </w:p>
  </w:endnote>
  <w:endnote w:type="continuationSeparator" w:id="0">
    <w:p w:rsidR="00863A88" w:rsidRDefault="00863A88" w:rsidP="00A9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A88" w:rsidRDefault="00863A88" w:rsidP="00A96A91">
      <w:r>
        <w:separator/>
      </w:r>
    </w:p>
  </w:footnote>
  <w:footnote w:type="continuationSeparator" w:id="0">
    <w:p w:rsidR="00863A88" w:rsidRDefault="00863A88" w:rsidP="00A9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B04"/>
    <w:multiLevelType w:val="hybridMultilevel"/>
    <w:tmpl w:val="84BC9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967A25"/>
    <w:multiLevelType w:val="hybridMultilevel"/>
    <w:tmpl w:val="61764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91D77"/>
    <w:multiLevelType w:val="hybridMultilevel"/>
    <w:tmpl w:val="2D6E1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3C62E8"/>
    <w:multiLevelType w:val="hybridMultilevel"/>
    <w:tmpl w:val="902C8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F21FCC"/>
    <w:multiLevelType w:val="hybridMultilevel"/>
    <w:tmpl w:val="06FC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00073"/>
    <w:multiLevelType w:val="hybridMultilevel"/>
    <w:tmpl w:val="48C04BC2"/>
    <w:lvl w:ilvl="0" w:tplc="E4AC6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86062"/>
    <w:multiLevelType w:val="hybridMultilevel"/>
    <w:tmpl w:val="C6A89A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29"/>
    <w:rsid w:val="000B4450"/>
    <w:rsid w:val="000E27E0"/>
    <w:rsid w:val="0027014F"/>
    <w:rsid w:val="002A13DA"/>
    <w:rsid w:val="002F486D"/>
    <w:rsid w:val="00321F34"/>
    <w:rsid w:val="003F7DF0"/>
    <w:rsid w:val="00437A32"/>
    <w:rsid w:val="00510FEE"/>
    <w:rsid w:val="00515843"/>
    <w:rsid w:val="005B0489"/>
    <w:rsid w:val="005E7ACA"/>
    <w:rsid w:val="00647029"/>
    <w:rsid w:val="0065050D"/>
    <w:rsid w:val="006535AE"/>
    <w:rsid w:val="00713FF6"/>
    <w:rsid w:val="007F2CAF"/>
    <w:rsid w:val="00863A88"/>
    <w:rsid w:val="008C01E3"/>
    <w:rsid w:val="0099092F"/>
    <w:rsid w:val="00A739FC"/>
    <w:rsid w:val="00A96A91"/>
    <w:rsid w:val="00C04413"/>
    <w:rsid w:val="00C452E5"/>
    <w:rsid w:val="00DE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BD7E7"/>
  <w14:defaultImageDpi w14:val="300"/>
  <w15:docId w15:val="{164F6541-9A85-4356-8FC4-C05A6F51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702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510F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7029"/>
    <w:pPr>
      <w:tabs>
        <w:tab w:val="center" w:pos="4320"/>
        <w:tab w:val="right" w:pos="8640"/>
      </w:tabs>
      <w:spacing w:after="120" w:line="264" w:lineRule="auto"/>
    </w:pPr>
    <w:rPr>
      <w:rFonts w:ascii="Book Antiqua" w:hAnsi="Book Antiqua"/>
      <w:szCs w:val="20"/>
    </w:rPr>
  </w:style>
  <w:style w:type="character" w:customStyle="1" w:styleId="HeaderChar">
    <w:name w:val="Header Char"/>
    <w:basedOn w:val="DefaultParagraphFont"/>
    <w:link w:val="Header"/>
    <w:rsid w:val="00647029"/>
    <w:rPr>
      <w:rFonts w:ascii="Book Antiqua" w:eastAsia="Times New Roman" w:hAnsi="Book Antiqua" w:cs="Times New Roman"/>
      <w:szCs w:val="20"/>
    </w:rPr>
  </w:style>
  <w:style w:type="character" w:styleId="Hyperlink">
    <w:name w:val="Hyperlink"/>
    <w:uiPriority w:val="99"/>
    <w:rsid w:val="00647029"/>
    <w:rPr>
      <w:color w:val="0000FF"/>
      <w:u w:val="single"/>
    </w:rPr>
  </w:style>
  <w:style w:type="paragraph" w:styleId="Footer">
    <w:name w:val="footer"/>
    <w:basedOn w:val="Normal"/>
    <w:link w:val="FooterChar"/>
    <w:rsid w:val="00647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7029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4702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8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43"/>
    <w:rPr>
      <w:rFonts w:ascii="Lucida Grande" w:eastAsia="Times New Roman" w:hAnsi="Lucida Grande" w:cs="Lucida Grande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21F34"/>
    <w:rPr>
      <w:i/>
      <w:iCs/>
    </w:rPr>
  </w:style>
  <w:style w:type="paragraph" w:styleId="ListParagraph">
    <w:name w:val="List Paragraph"/>
    <w:basedOn w:val="Normal"/>
    <w:uiPriority w:val="34"/>
    <w:qFormat/>
    <w:rsid w:val="00A739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10F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10FEE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510FEE"/>
  </w:style>
  <w:style w:type="table" w:styleId="TableGrid">
    <w:name w:val="Table Grid"/>
    <w:basedOn w:val="TableNormal"/>
    <w:uiPriority w:val="59"/>
    <w:rsid w:val="00510FE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51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cbi.nlm.nih.gov/pubmed/?term=Hoogstraten%20MC%5BAuthor%5D&amp;cauthor=true&amp;cauthor_uid=3376747" TargetMode="External"/><Relationship Id="rId18" Type="http://schemas.openxmlformats.org/officeDocument/2006/relationships/hyperlink" Target="https://www.ncbi.nlm.nih.gov/pubmed/?term=Minderhoud%20JM%5BAuthor%5D&amp;cauthor=true&amp;cauthor_uid=33767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ypcnow.org/" TargetMode="External"/><Relationship Id="rId7" Type="http://schemas.openxmlformats.org/officeDocument/2006/relationships/hyperlink" Target="http://www.mypcnow.org" TargetMode="External"/><Relationship Id="rId12" Type="http://schemas.openxmlformats.org/officeDocument/2006/relationships/hyperlink" Target="https://www.ncbi.nlm.nih.gov/pubmed/?term=Arch+Phys+Med+Rehabil1991%3B72%3A186%E2%80%939" TargetMode="External"/><Relationship Id="rId17" Type="http://schemas.openxmlformats.org/officeDocument/2006/relationships/hyperlink" Target="https://www.ncbi.nlm.nih.gov/pubmed/?term=van%20Marle%20S%5BAuthor%5D&amp;cauthor=true&amp;cauthor_uid=33767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Vreeling%20A%5BAuthor%5D&amp;cauthor=true&amp;cauthor_uid=3376747" TargetMode="External"/><Relationship Id="rId20" Type="http://schemas.openxmlformats.org/officeDocument/2006/relationships/hyperlink" Target="http://www.mypcnow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?term=Smith%20MB%5BAuthor%5D&amp;cauthor=true&amp;cauthor_uid=199845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?term=vd%20Burg%20W%5BAuthor%5D&amp;cauthor=true&amp;cauthor_uid=337674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cbi.nlm.nih.gov/pubmed/?term=Brar%20SP%5BAuthor%5D&amp;cauthor=true&amp;cauthor_uid=1998451" TargetMode="External"/><Relationship Id="rId19" Type="http://schemas.openxmlformats.org/officeDocument/2006/relationships/hyperlink" Target="https://www.ncbi.nlm.nih.gov/pubmed/?term=Tizanidine+versus+baclofen+inthe+treatment+of+spasticity+in+multiple+sclerosis+patients.+ActaNeurol+Scand+1988%3B77%3A224%E2%80%9330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18225966" TargetMode="External"/><Relationship Id="rId14" Type="http://schemas.openxmlformats.org/officeDocument/2006/relationships/hyperlink" Target="https://www.ncbi.nlm.nih.gov/pubmed/?term=van%20der%20Ploeg%20RJ%5BAuthor%5D&amp;cauthor=true&amp;cauthor_uid=3376747" TargetMode="External"/><Relationship Id="rId22" Type="http://schemas.openxmlformats.org/officeDocument/2006/relationships/hyperlink" Target="http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Marks, Sean</cp:lastModifiedBy>
  <cp:revision>4</cp:revision>
  <dcterms:created xsi:type="dcterms:W3CDTF">2017-08-31T20:02:00Z</dcterms:created>
  <dcterms:modified xsi:type="dcterms:W3CDTF">2017-09-06T14:42:00Z</dcterms:modified>
</cp:coreProperties>
</file>